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8064" w14:textId="77777777" w:rsidR="009D7359" w:rsidRDefault="002D4A68">
      <w:r>
        <w:t xml:space="preserve"> </w:t>
      </w:r>
    </w:p>
    <w:p w14:paraId="25BC4011" w14:textId="77777777" w:rsidR="009D7359" w:rsidRPr="009D7359" w:rsidRDefault="009D7359" w:rsidP="009D7359">
      <w:pPr>
        <w:jc w:val="center"/>
        <w:rPr>
          <w:sz w:val="40"/>
          <w:szCs w:val="40"/>
        </w:rPr>
      </w:pPr>
      <w:r w:rsidRPr="009D7359">
        <w:rPr>
          <w:color w:val="0000FF"/>
          <w:sz w:val="40"/>
          <w:szCs w:val="40"/>
        </w:rPr>
        <w:t xml:space="preserve">In line </w:t>
      </w:r>
      <w:proofErr w:type="gramStart"/>
      <w:r w:rsidRPr="009D7359">
        <w:rPr>
          <w:color w:val="0000FF"/>
          <w:sz w:val="40"/>
          <w:szCs w:val="40"/>
        </w:rPr>
        <w:t>measurements</w:t>
      </w:r>
      <w:r w:rsidRPr="009D7359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</w:p>
    <w:p w14:paraId="41F28772" w14:textId="77777777" w:rsidR="009D7359" w:rsidRDefault="009D7359">
      <w:pPr>
        <w:rPr>
          <w:sz w:val="40"/>
          <w:szCs w:val="40"/>
        </w:rPr>
      </w:pPr>
      <w:r w:rsidRPr="009D7359">
        <w:rPr>
          <w:sz w:val="40"/>
          <w:szCs w:val="40"/>
        </w:rPr>
        <w:t>An underutilized opportunity</w:t>
      </w:r>
    </w:p>
    <w:p w14:paraId="1042EDE5" w14:textId="77777777" w:rsidR="009D7359" w:rsidRPr="009D7359" w:rsidRDefault="009D7359" w:rsidP="009D735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9D7359">
        <w:rPr>
          <w:sz w:val="40"/>
          <w:szCs w:val="40"/>
        </w:rPr>
        <w:t>as</w:t>
      </w:r>
      <w:proofErr w:type="gramEnd"/>
      <w:r w:rsidRPr="009D7359">
        <w:rPr>
          <w:sz w:val="40"/>
          <w:szCs w:val="40"/>
        </w:rPr>
        <w:t xml:space="preserve"> time series measurements </w:t>
      </w:r>
      <w:r w:rsidR="008A3A74">
        <w:rPr>
          <w:sz w:val="40"/>
          <w:szCs w:val="40"/>
        </w:rPr>
        <w:t>in its own right</w:t>
      </w:r>
      <w:r w:rsidRPr="009D7359">
        <w:rPr>
          <w:sz w:val="40"/>
          <w:szCs w:val="40"/>
        </w:rPr>
        <w:t>,</w:t>
      </w:r>
      <w:r w:rsidR="008A3A74">
        <w:rPr>
          <w:sz w:val="40"/>
          <w:szCs w:val="40"/>
        </w:rPr>
        <w:t xml:space="preserve"> and</w:t>
      </w:r>
    </w:p>
    <w:p w14:paraId="72AD169F" w14:textId="77777777" w:rsidR="009D7359" w:rsidRPr="009D7359" w:rsidRDefault="009D7359" w:rsidP="009D735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D7359">
        <w:rPr>
          <w:sz w:val="40"/>
          <w:szCs w:val="40"/>
        </w:rPr>
        <w:t xml:space="preserve">in support of (fixed) time series    </w:t>
      </w:r>
    </w:p>
    <w:p w14:paraId="7549C6F2" w14:textId="77777777" w:rsidR="0094286D" w:rsidRDefault="00AA73CB" w:rsidP="0094286D">
      <w:pPr>
        <w:pStyle w:val="ListParagraph"/>
        <w:rPr>
          <w:sz w:val="40"/>
          <w:szCs w:val="40"/>
        </w:rPr>
      </w:pPr>
      <w:r w:rsidRPr="009D735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8C739D" wp14:editId="013C01E4">
            <wp:simplePos x="0" y="0"/>
            <wp:positionH relativeFrom="column">
              <wp:posOffset>0</wp:posOffset>
            </wp:positionH>
            <wp:positionV relativeFrom="paragraph">
              <wp:posOffset>916305</wp:posOffset>
            </wp:positionV>
            <wp:extent cx="5270500" cy="3952875"/>
            <wp:effectExtent l="0" t="0" r="12700" b="9525"/>
            <wp:wrapSquare wrapText="bothSides"/>
            <wp:docPr id="5" name="Picture 4" descr="Screen shot 2012-11-11 at 2.43.13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11-11 at 2.43.13 PM.png"/>
                    <pic:cNvPicPr>
                      <a:picLocks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D7359" w:rsidRPr="009D7359">
        <w:rPr>
          <w:sz w:val="40"/>
          <w:szCs w:val="40"/>
        </w:rPr>
        <w:t>mea</w:t>
      </w:r>
      <w:r w:rsidR="009D7359" w:rsidRPr="0094286D">
        <w:rPr>
          <w:sz w:val="40"/>
          <w:szCs w:val="40"/>
        </w:rPr>
        <w:t>surements</w:t>
      </w:r>
      <w:proofErr w:type="gramEnd"/>
    </w:p>
    <w:p w14:paraId="2A62356A" w14:textId="77777777" w:rsidR="0094286D" w:rsidRDefault="0094286D" w:rsidP="0094286D">
      <w:pPr>
        <w:pStyle w:val="ListParagraph"/>
        <w:rPr>
          <w:sz w:val="40"/>
          <w:szCs w:val="40"/>
        </w:rPr>
      </w:pPr>
    </w:p>
    <w:p w14:paraId="14A7F4F5" w14:textId="77777777" w:rsidR="0094286D" w:rsidRDefault="007731BB" w:rsidP="0094286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www.socat.info</w:t>
      </w:r>
    </w:p>
    <w:p w14:paraId="0A6D1F7E" w14:textId="77777777" w:rsidR="0094286D" w:rsidRDefault="008A3A74" w:rsidP="0094286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Breakout group members:</w:t>
      </w:r>
    </w:p>
    <w:p w14:paraId="175DD900" w14:textId="77777777" w:rsidR="00BD3E69" w:rsidRPr="00BD3E69" w:rsidRDefault="00BD3E69" w:rsidP="0094286D">
      <w:pPr>
        <w:pStyle w:val="ListParagraph"/>
        <w:rPr>
          <w:sz w:val="28"/>
          <w:szCs w:val="28"/>
        </w:rPr>
      </w:pPr>
      <w:r w:rsidRPr="00BD3E69">
        <w:rPr>
          <w:sz w:val="28"/>
          <w:szCs w:val="28"/>
        </w:rPr>
        <w:t>M. Ishii</w:t>
      </w:r>
      <w:r w:rsidR="008A3A74">
        <w:rPr>
          <w:sz w:val="28"/>
          <w:szCs w:val="28"/>
        </w:rPr>
        <w:t xml:space="preserve"> (session lead)</w:t>
      </w:r>
    </w:p>
    <w:p w14:paraId="065A9FA2" w14:textId="77777777" w:rsidR="00BD3E69" w:rsidRPr="00BD3E69" w:rsidRDefault="00BD3E69" w:rsidP="0094286D">
      <w:pPr>
        <w:pStyle w:val="ListParagraph"/>
        <w:rPr>
          <w:sz w:val="28"/>
          <w:szCs w:val="28"/>
        </w:rPr>
      </w:pPr>
      <w:r w:rsidRPr="00BD3E69">
        <w:rPr>
          <w:sz w:val="28"/>
          <w:szCs w:val="28"/>
        </w:rPr>
        <w:t>M. Telszewski</w:t>
      </w:r>
      <w:r w:rsidR="008A3A74">
        <w:rPr>
          <w:sz w:val="28"/>
          <w:szCs w:val="28"/>
        </w:rPr>
        <w:t xml:space="preserve"> (session lead)</w:t>
      </w:r>
    </w:p>
    <w:p w14:paraId="5DAABA07" w14:textId="77777777" w:rsidR="00BD3E69" w:rsidRPr="00BD3E69" w:rsidRDefault="00BD3E69" w:rsidP="0094286D">
      <w:pPr>
        <w:pStyle w:val="ListParagraph"/>
        <w:rPr>
          <w:sz w:val="28"/>
          <w:szCs w:val="28"/>
        </w:rPr>
      </w:pPr>
      <w:r w:rsidRPr="00BD3E69">
        <w:rPr>
          <w:sz w:val="28"/>
          <w:szCs w:val="28"/>
        </w:rPr>
        <w:t>N. Bates</w:t>
      </w:r>
    </w:p>
    <w:p w14:paraId="79AF96E0" w14:textId="77777777" w:rsidR="00BD3E69" w:rsidRDefault="00BD3E69" w:rsidP="0094286D">
      <w:pPr>
        <w:pStyle w:val="ListParagraph"/>
        <w:rPr>
          <w:sz w:val="28"/>
          <w:szCs w:val="28"/>
        </w:rPr>
      </w:pPr>
      <w:r w:rsidRPr="00BD3E69">
        <w:rPr>
          <w:sz w:val="28"/>
          <w:szCs w:val="28"/>
        </w:rPr>
        <w:t>B. F</w:t>
      </w:r>
      <w:r>
        <w:rPr>
          <w:sz w:val="28"/>
          <w:szCs w:val="28"/>
        </w:rPr>
        <w:t>iedler</w:t>
      </w:r>
    </w:p>
    <w:p w14:paraId="603C04A3" w14:textId="77777777" w:rsidR="00BD3E69" w:rsidRDefault="00BD3E69" w:rsidP="009428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S. </w:t>
      </w:r>
      <w:proofErr w:type="spellStart"/>
      <w:r>
        <w:rPr>
          <w:sz w:val="28"/>
          <w:szCs w:val="28"/>
        </w:rPr>
        <w:t>Punchon</w:t>
      </w:r>
      <w:proofErr w:type="spellEnd"/>
    </w:p>
    <w:p w14:paraId="798AC564" w14:textId="77777777" w:rsidR="00BD3E69" w:rsidRDefault="00BD3E69" w:rsidP="009428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8A3A74">
        <w:rPr>
          <w:sz w:val="28"/>
          <w:szCs w:val="28"/>
        </w:rPr>
        <w:t>.</w:t>
      </w:r>
      <w:r>
        <w:rPr>
          <w:sz w:val="28"/>
          <w:szCs w:val="28"/>
        </w:rPr>
        <w:t xml:space="preserve"> S</w:t>
      </w:r>
      <w:r w:rsidR="008A3A74">
        <w:rPr>
          <w:sz w:val="28"/>
          <w:szCs w:val="28"/>
        </w:rPr>
        <w:t>.</w:t>
      </w:r>
      <w:r>
        <w:rPr>
          <w:sz w:val="28"/>
          <w:szCs w:val="28"/>
        </w:rPr>
        <w:t xml:space="preserve"> Rhee</w:t>
      </w:r>
    </w:p>
    <w:p w14:paraId="5BC387E9" w14:textId="77777777" w:rsidR="00BD3E69" w:rsidRDefault="00BD3E69" w:rsidP="00BD3E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Sutton</w:t>
      </w:r>
    </w:p>
    <w:p w14:paraId="7741D5C6" w14:textId="77777777" w:rsidR="008A3A74" w:rsidRPr="00012B71" w:rsidRDefault="00BD3E69" w:rsidP="00012B71">
      <w:pPr>
        <w:ind w:left="720"/>
        <w:rPr>
          <w:sz w:val="28"/>
          <w:szCs w:val="28"/>
        </w:rPr>
      </w:pPr>
      <w:r w:rsidRPr="00BD3E69">
        <w:rPr>
          <w:sz w:val="28"/>
          <w:szCs w:val="28"/>
        </w:rPr>
        <w:t>R.</w:t>
      </w:r>
      <w:r w:rsidR="007E4CF4">
        <w:rPr>
          <w:sz w:val="28"/>
          <w:szCs w:val="28"/>
        </w:rPr>
        <w:t xml:space="preserve"> </w:t>
      </w:r>
      <w:r w:rsidRPr="00BD3E69">
        <w:rPr>
          <w:sz w:val="28"/>
          <w:szCs w:val="28"/>
        </w:rPr>
        <w:t>Wanninkhof</w:t>
      </w:r>
      <w:r w:rsidR="009D7359" w:rsidRPr="00BD3E69">
        <w:rPr>
          <w:sz w:val="28"/>
          <w:szCs w:val="28"/>
        </w:rPr>
        <w:br w:type="page"/>
      </w:r>
    </w:p>
    <w:p w14:paraId="33B30EDB" w14:textId="77777777" w:rsidR="00063AB5" w:rsidRDefault="008A3A74">
      <w:r>
        <w:lastRenderedPageBreak/>
        <w:t>In line measurements pertain to automated measurements</w:t>
      </w:r>
      <w:r w:rsidR="005C257A">
        <w:t xml:space="preserve"> and sampling from seawater intakes on research ships and ships of opportunity</w:t>
      </w:r>
      <w:r w:rsidR="00012B71">
        <w:t xml:space="preserve">. </w:t>
      </w:r>
      <w:r w:rsidR="00E0003B">
        <w:t xml:space="preserve">Points 1 and 2 </w:t>
      </w:r>
      <w:r>
        <w:t xml:space="preserve">listed below </w:t>
      </w:r>
      <w:r w:rsidR="00E0003B">
        <w:t>are related to the in-line system itself. Points 3-10 deal with discussed parameters. Point 11 provides some more general comments.</w:t>
      </w:r>
      <w:r w:rsidR="001C0AD9">
        <w:t xml:space="preserve"> </w:t>
      </w:r>
    </w:p>
    <w:p w14:paraId="774DC032" w14:textId="77777777" w:rsidR="00063AB5" w:rsidRDefault="00063AB5"/>
    <w:p w14:paraId="7CD339CB" w14:textId="77777777" w:rsidR="00063AB5" w:rsidRDefault="00063AB5">
      <w:r>
        <w:t xml:space="preserve">In line measurements are a powerful way of extending </w:t>
      </w:r>
      <w:r w:rsidR="001B4420">
        <w:t>fixed-point</w:t>
      </w:r>
      <w:r>
        <w:t xml:space="preserve"> time series, providing quality measurements, and ins</w:t>
      </w:r>
      <w:r w:rsidR="00012B71">
        <w:t xml:space="preserve">trument/technique development. </w:t>
      </w:r>
      <w:r w:rsidR="001B4420">
        <w:t>Quality of ship’s infrastructure with regards to inline system (tubing, pumps) is</w:t>
      </w:r>
      <w:r w:rsidR="00351C44">
        <w:t xml:space="preserve"> </w:t>
      </w:r>
      <w:r w:rsidR="001B4420">
        <w:t>critical</w:t>
      </w:r>
      <w:r w:rsidR="00351C44">
        <w:t>.</w:t>
      </w:r>
    </w:p>
    <w:p w14:paraId="4E5D15DC" w14:textId="77777777" w:rsidR="00063AB5" w:rsidRDefault="00063AB5"/>
    <w:p w14:paraId="641C6F2A" w14:textId="77777777" w:rsidR="002915E9" w:rsidRDefault="001C0AD9">
      <w:r>
        <w:t>A lot of consideration was given to various aspects of the inline system:</w:t>
      </w:r>
    </w:p>
    <w:p w14:paraId="31E17AB8" w14:textId="77777777" w:rsidR="001C0AD9" w:rsidRDefault="001C0AD9"/>
    <w:p w14:paraId="322DC43B" w14:textId="77777777" w:rsidR="001C0AD9" w:rsidRDefault="001C0AD9" w:rsidP="001C0AD9">
      <w:pPr>
        <w:pStyle w:val="ListParagraph"/>
        <w:numPr>
          <w:ilvl w:val="0"/>
          <w:numId w:val="2"/>
        </w:numPr>
      </w:pPr>
      <w:r>
        <w:t>Depth of sampling</w:t>
      </w:r>
      <w:r w:rsidR="00EC39B3">
        <w:t xml:space="preserve"> needs to be recorded</w:t>
      </w:r>
      <w:r w:rsidR="00E0003B">
        <w:t xml:space="preserve"> in the metadata</w:t>
      </w:r>
    </w:p>
    <w:p w14:paraId="20CDC7AE" w14:textId="77777777" w:rsidR="001C0AD9" w:rsidRDefault="00EC39B3" w:rsidP="001C0AD9">
      <w:pPr>
        <w:pStyle w:val="ListParagraph"/>
        <w:numPr>
          <w:ilvl w:val="1"/>
          <w:numId w:val="2"/>
        </w:numPr>
      </w:pPr>
      <w:r>
        <w:t>It is h</w:t>
      </w:r>
      <w:r w:rsidR="001C0AD9">
        <w:t>ighly variable</w:t>
      </w:r>
      <w:r w:rsidR="0031144D">
        <w:t xml:space="preserve"> between different ships</w:t>
      </w:r>
    </w:p>
    <w:p w14:paraId="11721330" w14:textId="77777777" w:rsidR="001C0AD9" w:rsidRDefault="00EC39B3" w:rsidP="001C0AD9">
      <w:pPr>
        <w:pStyle w:val="ListParagraph"/>
        <w:numPr>
          <w:ilvl w:val="1"/>
          <w:numId w:val="2"/>
        </w:numPr>
      </w:pPr>
      <w:r>
        <w:t>T</w:t>
      </w:r>
      <w:r w:rsidR="001C0AD9">
        <w:t>he inlet to be in the bulk mixed layer (below warm layer</w:t>
      </w:r>
      <w:r w:rsidR="009D402F">
        <w:t xml:space="preserve"> ≈ 1-2 m</w:t>
      </w:r>
      <w:r w:rsidR="001C0AD9">
        <w:t>) –depth needs to be well documented</w:t>
      </w:r>
    </w:p>
    <w:p w14:paraId="6056DC05" w14:textId="77777777" w:rsidR="001C0AD9" w:rsidRDefault="00EC39B3" w:rsidP="001C0AD9">
      <w:pPr>
        <w:pStyle w:val="ListParagraph"/>
        <w:numPr>
          <w:ilvl w:val="1"/>
          <w:numId w:val="2"/>
        </w:numPr>
      </w:pPr>
      <w:r>
        <w:t>I</w:t>
      </w:r>
      <w:r w:rsidR="001C0AD9">
        <w:t xml:space="preserve">ntake </w:t>
      </w:r>
      <w:r w:rsidR="009D402F">
        <w:t xml:space="preserve">should be </w:t>
      </w:r>
      <w:r w:rsidR="001C0AD9">
        <w:t xml:space="preserve">right from the bow </w:t>
      </w:r>
      <w:r w:rsidR="009D402F">
        <w:t xml:space="preserve">to avoid contamination from ship’s discharges and hull </w:t>
      </w:r>
      <w:r w:rsidR="001C0AD9">
        <w:t>(not from the sea chest if possible)</w:t>
      </w:r>
    </w:p>
    <w:p w14:paraId="7F43A5DF" w14:textId="77777777" w:rsidR="001C0AD9" w:rsidRDefault="001C0AD9" w:rsidP="001C0AD9">
      <w:pPr>
        <w:pStyle w:val="ListParagraph"/>
        <w:numPr>
          <w:ilvl w:val="0"/>
          <w:numId w:val="2"/>
        </w:numPr>
      </w:pPr>
      <w:r>
        <w:t>In line system</w:t>
      </w:r>
    </w:p>
    <w:p w14:paraId="613F5817" w14:textId="77777777" w:rsidR="001C0AD9" w:rsidRDefault="001C0AD9" w:rsidP="001C0AD9">
      <w:pPr>
        <w:pStyle w:val="ListParagraph"/>
        <w:numPr>
          <w:ilvl w:val="1"/>
          <w:numId w:val="2"/>
        </w:numPr>
      </w:pPr>
      <w:r>
        <w:t xml:space="preserve">Flow rate </w:t>
      </w:r>
      <w:r w:rsidR="006F7451">
        <w:t xml:space="preserve">should be </w:t>
      </w:r>
      <w:r>
        <w:t>well documented</w:t>
      </w:r>
      <w:r w:rsidR="00E0003B">
        <w:t xml:space="preserve"> (often a critical QC information)</w:t>
      </w:r>
    </w:p>
    <w:p w14:paraId="562362C4" w14:textId="77777777" w:rsidR="001C0AD9" w:rsidRDefault="001C0AD9" w:rsidP="001C0AD9">
      <w:pPr>
        <w:pStyle w:val="ListParagraph"/>
        <w:numPr>
          <w:ilvl w:val="1"/>
          <w:numId w:val="2"/>
        </w:numPr>
      </w:pPr>
      <w:r>
        <w:t xml:space="preserve">Knowing and documenting the transit time </w:t>
      </w:r>
      <w:r w:rsidR="00D30976">
        <w:t xml:space="preserve">of water in the pipe </w:t>
      </w:r>
      <w:r>
        <w:t>is important</w:t>
      </w:r>
    </w:p>
    <w:p w14:paraId="2690CF13" w14:textId="77777777" w:rsidR="001C0AD9" w:rsidRDefault="001C0AD9" w:rsidP="001C0AD9">
      <w:pPr>
        <w:pStyle w:val="ListParagraph"/>
        <w:numPr>
          <w:ilvl w:val="1"/>
          <w:numId w:val="2"/>
        </w:numPr>
      </w:pPr>
      <w:r>
        <w:t xml:space="preserve">Temperature </w:t>
      </w:r>
      <w:r w:rsidR="00D30976">
        <w:t xml:space="preserve">measurements and </w:t>
      </w:r>
      <w:r>
        <w:t>control</w:t>
      </w:r>
    </w:p>
    <w:p w14:paraId="1C64C586" w14:textId="77777777" w:rsidR="001C0AD9" w:rsidRDefault="00E0003B" w:rsidP="001C0AD9">
      <w:pPr>
        <w:pStyle w:val="ListParagraph"/>
        <w:numPr>
          <w:ilvl w:val="2"/>
          <w:numId w:val="2"/>
        </w:numPr>
      </w:pPr>
      <w:r>
        <w:t xml:space="preserve">Measuring the </w:t>
      </w:r>
      <w:r w:rsidR="009F70AE">
        <w:t xml:space="preserve">temperature </w:t>
      </w:r>
      <w:r w:rsidR="001C0AD9">
        <w:t>at the inlet</w:t>
      </w:r>
      <w:r w:rsidR="003D3CF4">
        <w:t xml:space="preserve"> to determine SST</w:t>
      </w:r>
      <w:r>
        <w:t xml:space="preserve"> </w:t>
      </w:r>
      <w:r w:rsidR="00934AEA">
        <w:t xml:space="preserve">(sea surface </w:t>
      </w:r>
      <w:proofErr w:type="gramStart"/>
      <w:r w:rsidR="00934AEA">
        <w:t>temperature)</w:t>
      </w:r>
      <w:r>
        <w:t>is</w:t>
      </w:r>
      <w:proofErr w:type="gramEnd"/>
      <w:r>
        <w:t xml:space="preserve"> ideal (sensor installed as close to the inlet as possible, before other instruments and technical equipment like pump</w:t>
      </w:r>
      <w:r w:rsidR="005E2B58">
        <w:t>s and flow meters</w:t>
      </w:r>
      <w:r>
        <w:t>)</w:t>
      </w:r>
    </w:p>
    <w:p w14:paraId="60FA734E" w14:textId="77777777" w:rsidR="001C0AD9" w:rsidRDefault="00E0003B" w:rsidP="001C0AD9">
      <w:pPr>
        <w:pStyle w:val="ListParagraph"/>
        <w:numPr>
          <w:ilvl w:val="3"/>
          <w:numId w:val="2"/>
        </w:numPr>
      </w:pPr>
      <w:r>
        <w:t>In case</w:t>
      </w:r>
      <w:r w:rsidR="00A354EE">
        <w:t xml:space="preserve"> the</w:t>
      </w:r>
      <w:r>
        <w:t xml:space="preserve"> </w:t>
      </w:r>
      <w:r w:rsidR="009F70AE">
        <w:t xml:space="preserve">temperature </w:t>
      </w:r>
      <w:r>
        <w:t>at the inlet can’t be measured directly, s</w:t>
      </w:r>
      <w:r w:rsidR="001C0AD9">
        <w:t xml:space="preserve">urface </w:t>
      </w:r>
      <w:r w:rsidR="009F70AE">
        <w:t>temperature</w:t>
      </w:r>
      <w:r w:rsidR="001C0AD9">
        <w:t xml:space="preserve"> from the CTD is acceptable</w:t>
      </w:r>
      <w:r w:rsidR="00B17D50">
        <w:t>, if sufficient CTD casts are taken for good interpolation</w:t>
      </w:r>
    </w:p>
    <w:p w14:paraId="03265813" w14:textId="77777777" w:rsidR="001C0AD9" w:rsidRDefault="00E0003B" w:rsidP="001C0AD9">
      <w:pPr>
        <w:pStyle w:val="ListParagraph"/>
        <w:numPr>
          <w:ilvl w:val="3"/>
          <w:numId w:val="2"/>
        </w:numPr>
      </w:pPr>
      <w:r>
        <w:t xml:space="preserve">In case </w:t>
      </w:r>
      <w:r w:rsidR="009F70AE">
        <w:t>temperature</w:t>
      </w:r>
      <w:r>
        <w:t xml:space="preserve"> at the inlet can’t be measured directly, </w:t>
      </w:r>
      <w:r w:rsidR="00B17D50">
        <w:t xml:space="preserve">a </w:t>
      </w:r>
      <w:r>
        <w:t>h</w:t>
      </w:r>
      <w:r w:rsidR="003D3CF4">
        <w:t>ull mounted temperature</w:t>
      </w:r>
      <w:r w:rsidR="001C0AD9">
        <w:t xml:space="preserve"> sensor is acceptable</w:t>
      </w:r>
    </w:p>
    <w:p w14:paraId="710D711E" w14:textId="77777777" w:rsidR="001C0AD9" w:rsidRDefault="001C0AD9" w:rsidP="001C0AD9">
      <w:pPr>
        <w:pStyle w:val="ListParagraph"/>
        <w:numPr>
          <w:ilvl w:val="3"/>
          <w:numId w:val="2"/>
        </w:numPr>
      </w:pPr>
      <w:r>
        <w:t>Bucket sampling is not recommended unless no other method is available</w:t>
      </w:r>
    </w:p>
    <w:p w14:paraId="2BB99027" w14:textId="77777777" w:rsidR="001C0AD9" w:rsidRDefault="001C0AD9" w:rsidP="001C0AD9">
      <w:pPr>
        <w:pStyle w:val="ListParagraph"/>
        <w:numPr>
          <w:ilvl w:val="3"/>
          <w:numId w:val="2"/>
        </w:numPr>
      </w:pPr>
      <w:r>
        <w:t>Back-cali</w:t>
      </w:r>
      <w:r w:rsidR="006F7451">
        <w:t xml:space="preserve">bration </w:t>
      </w:r>
      <w:r w:rsidR="003D3CF4">
        <w:t xml:space="preserve">to determine </w:t>
      </w:r>
      <w:r w:rsidR="001B4420">
        <w:t>SST upon</w:t>
      </w:r>
      <w:r w:rsidR="006F7451">
        <w:t xml:space="preserve"> instal</w:t>
      </w:r>
      <w:r w:rsidR="003D3CF4">
        <w:t xml:space="preserve">ling </w:t>
      </w:r>
      <w:r>
        <w:t xml:space="preserve">of the inlet </w:t>
      </w:r>
      <w:r w:rsidR="009F70AE">
        <w:t>temperature</w:t>
      </w:r>
      <w:r w:rsidR="00CB1A4A">
        <w:t xml:space="preserve"> </w:t>
      </w:r>
      <w:r>
        <w:t>sensor is recommended</w:t>
      </w:r>
    </w:p>
    <w:p w14:paraId="08DBE324" w14:textId="77777777" w:rsidR="001C0AD9" w:rsidRDefault="009F70AE" w:rsidP="001C0AD9">
      <w:pPr>
        <w:pStyle w:val="ListParagraph"/>
        <w:numPr>
          <w:ilvl w:val="2"/>
          <w:numId w:val="2"/>
        </w:numPr>
      </w:pPr>
      <w:r>
        <w:t>Temperature</w:t>
      </w:r>
      <w:r w:rsidR="001C0AD9">
        <w:t xml:space="preserve"> measured at instrument/in the lab</w:t>
      </w:r>
      <w:r w:rsidR="00E0003B">
        <w:t xml:space="preserve"> is fundamental for the data quality</w:t>
      </w:r>
      <w:r w:rsidR="00F22285">
        <w:t xml:space="preserve"> and correction for analysis of temperature dependent parameters such as pCO</w:t>
      </w:r>
      <w:r w:rsidR="00F22285" w:rsidRPr="00012B71">
        <w:rPr>
          <w:vertAlign w:val="subscript"/>
        </w:rPr>
        <w:t xml:space="preserve">2 </w:t>
      </w:r>
      <w:r w:rsidR="00F22285">
        <w:t xml:space="preserve">and </w:t>
      </w:r>
      <w:proofErr w:type="spellStart"/>
      <w:r w:rsidR="00F22285">
        <w:t>pH</w:t>
      </w:r>
      <w:r w:rsidR="00E0003B">
        <w:t>.</w:t>
      </w:r>
      <w:proofErr w:type="spellEnd"/>
    </w:p>
    <w:p w14:paraId="76A58DAD" w14:textId="77777777" w:rsidR="001C0AD9" w:rsidRDefault="009F70AE" w:rsidP="00E0003B">
      <w:pPr>
        <w:pStyle w:val="ListParagraph"/>
        <w:numPr>
          <w:ilvl w:val="3"/>
          <w:numId w:val="2"/>
        </w:numPr>
      </w:pPr>
      <w:r>
        <w:t>Temperature</w:t>
      </w:r>
      <w:r w:rsidR="001C0AD9">
        <w:t xml:space="preserve"> sensors</w:t>
      </w:r>
      <w:r w:rsidR="003D3CF4">
        <w:t xml:space="preserve"> (platinum resistance thermistor) are very stable over years. However annual </w:t>
      </w:r>
      <w:r w:rsidR="001C0AD9">
        <w:t xml:space="preserve">calibration is </w:t>
      </w:r>
      <w:r w:rsidR="003D3CF4">
        <w:t xml:space="preserve">recommended </w:t>
      </w:r>
      <w:r w:rsidR="001C0AD9">
        <w:t>(ideally to 0.01</w:t>
      </w:r>
      <w:r w:rsidR="00143A5E">
        <w:t xml:space="preserve"> ˚</w:t>
      </w:r>
      <w:r w:rsidR="001C0AD9">
        <w:t>C</w:t>
      </w:r>
      <w:r w:rsidR="00923C30">
        <w:t>;</w:t>
      </w:r>
      <w:r w:rsidR="001C0AD9">
        <w:t xml:space="preserve"> 0.02</w:t>
      </w:r>
      <w:r w:rsidR="00143A5E">
        <w:t xml:space="preserve"> ˚</w:t>
      </w:r>
      <w:r w:rsidR="001C0AD9">
        <w:t>C is</w:t>
      </w:r>
      <w:r w:rsidR="00923C30">
        <w:t xml:space="preserve"> still</w:t>
      </w:r>
      <w:r w:rsidR="001C0AD9">
        <w:t xml:space="preserve"> acceptable)</w:t>
      </w:r>
    </w:p>
    <w:p w14:paraId="48392F7E" w14:textId="77777777" w:rsidR="001C0AD9" w:rsidRPr="00E0003B" w:rsidRDefault="001C0AD9" w:rsidP="001C0AD9">
      <w:pPr>
        <w:pStyle w:val="ListParagraph"/>
        <w:numPr>
          <w:ilvl w:val="3"/>
          <w:numId w:val="2"/>
        </w:numPr>
      </w:pPr>
      <w:r w:rsidRPr="00E0003B">
        <w:t>Manufacturer calibration</w:t>
      </w:r>
      <w:r w:rsidR="00E0003B">
        <w:t xml:space="preserve"> </w:t>
      </w:r>
      <w:r w:rsidR="00927DDA">
        <w:t xml:space="preserve">is </w:t>
      </w:r>
      <w:r w:rsidR="00E0003B">
        <w:t>ideal but more expensive</w:t>
      </w:r>
    </w:p>
    <w:p w14:paraId="54DFC22C" w14:textId="77777777" w:rsidR="001C0AD9" w:rsidRPr="00E0003B" w:rsidRDefault="001C0AD9" w:rsidP="001C0AD9">
      <w:pPr>
        <w:pStyle w:val="ListParagraph"/>
        <w:numPr>
          <w:ilvl w:val="3"/>
          <w:numId w:val="2"/>
        </w:numPr>
      </w:pPr>
      <w:r w:rsidRPr="00E0003B">
        <w:t>Lab calibration</w:t>
      </w:r>
      <w:r w:rsidR="00927DDA">
        <w:t>s are</w:t>
      </w:r>
      <w:r w:rsidR="00E0003B">
        <w:t xml:space="preserve"> completely acceptable</w:t>
      </w:r>
    </w:p>
    <w:p w14:paraId="2729042D" w14:textId="77777777" w:rsidR="001C0AD9" w:rsidRDefault="00923C30" w:rsidP="006F7451">
      <w:pPr>
        <w:pStyle w:val="ListParagraph"/>
        <w:numPr>
          <w:ilvl w:val="2"/>
          <w:numId w:val="2"/>
        </w:numPr>
      </w:pPr>
      <w:r>
        <w:lastRenderedPageBreak/>
        <w:t>Short distance between seawater intake and instrument/lab as well as t</w:t>
      </w:r>
      <w:r w:rsidR="00EC51DE">
        <w:t>hermal i</w:t>
      </w:r>
      <w:r w:rsidR="008E558E">
        <w:t>n</w:t>
      </w:r>
      <w:r w:rsidR="003D3CF4">
        <w:t xml:space="preserve">sulation of seawater line is recommended </w:t>
      </w:r>
      <w:r w:rsidR="001C0AD9">
        <w:t>to minimize temp</w:t>
      </w:r>
      <w:r w:rsidR="003D3CF4">
        <w:t>erature</w:t>
      </w:r>
      <w:r w:rsidR="001C0AD9">
        <w:t xml:space="preserve"> </w:t>
      </w:r>
      <w:r w:rsidR="00D30976">
        <w:t>changes</w:t>
      </w:r>
      <w:r w:rsidR="003D3CF4">
        <w:t>.</w:t>
      </w:r>
    </w:p>
    <w:p w14:paraId="6B92054A" w14:textId="77777777" w:rsidR="006F7451" w:rsidRDefault="006F7451" w:rsidP="006F7451">
      <w:pPr>
        <w:pStyle w:val="ListParagraph"/>
        <w:numPr>
          <w:ilvl w:val="1"/>
          <w:numId w:val="2"/>
        </w:numPr>
      </w:pPr>
      <w:r>
        <w:t xml:space="preserve">Cleaning the </w:t>
      </w:r>
      <w:r w:rsidR="008E558E">
        <w:t xml:space="preserve">seawater </w:t>
      </w:r>
      <w:r>
        <w:t>line is a very important issue</w:t>
      </w:r>
      <w:r w:rsidR="00B17AC6">
        <w:t xml:space="preserve"> (see </w:t>
      </w:r>
      <w:proofErr w:type="spellStart"/>
      <w:r w:rsidR="00B17AC6">
        <w:t>Juranek</w:t>
      </w:r>
      <w:proofErr w:type="spellEnd"/>
      <w:r w:rsidR="00B17AC6">
        <w:t xml:space="preserve"> et al. 2010, GRL)</w:t>
      </w:r>
    </w:p>
    <w:p w14:paraId="5BE1EB02" w14:textId="77777777" w:rsidR="006F7451" w:rsidRDefault="006F7451" w:rsidP="006F7451">
      <w:pPr>
        <w:pStyle w:val="ListParagraph"/>
        <w:numPr>
          <w:ilvl w:val="2"/>
          <w:numId w:val="2"/>
        </w:numPr>
      </w:pPr>
      <w:r>
        <w:t>Strainers should be installed right at the intake and should be cleaned regularly as required</w:t>
      </w:r>
    </w:p>
    <w:p w14:paraId="050180C6" w14:textId="77777777" w:rsidR="006F7451" w:rsidRDefault="006F7451" w:rsidP="006F7451">
      <w:pPr>
        <w:pStyle w:val="ListParagraph"/>
        <w:numPr>
          <w:ilvl w:val="2"/>
          <w:numId w:val="2"/>
        </w:numPr>
      </w:pPr>
      <w:r>
        <w:t xml:space="preserve">Clean the </w:t>
      </w:r>
      <w:r w:rsidR="00DF00FF">
        <w:t xml:space="preserve">seawater </w:t>
      </w:r>
      <w:r>
        <w:t>line with bleach every 6 months</w:t>
      </w:r>
      <w:r w:rsidR="00DF00FF">
        <w:t xml:space="preserve"> or more frequently in eutrophic waters</w:t>
      </w:r>
      <w:r w:rsidR="00B217A5">
        <w:t>. There are concerns related with potential oxidation</w:t>
      </w:r>
      <w:r w:rsidR="00DF00FF">
        <w:t xml:space="preserve"> of organic matter in the line</w:t>
      </w:r>
      <w:r w:rsidR="00B217A5">
        <w:t>.</w:t>
      </w:r>
    </w:p>
    <w:p w14:paraId="25B5E5A0" w14:textId="77777777" w:rsidR="00CA4C3F" w:rsidRDefault="00CA4C3F" w:rsidP="006F7451">
      <w:pPr>
        <w:pStyle w:val="ListParagraph"/>
        <w:numPr>
          <w:ilvl w:val="2"/>
          <w:numId w:val="2"/>
        </w:numPr>
      </w:pPr>
      <w:proofErr w:type="spellStart"/>
      <w:r>
        <w:t>Backflush</w:t>
      </w:r>
      <w:proofErr w:type="spellEnd"/>
      <w:r>
        <w:t xml:space="preserve"> line with freshwater every time in port and leave filled with fresh water</w:t>
      </w:r>
      <w:r w:rsidR="005F3867">
        <w:t xml:space="preserve"> when seawater line is not used</w:t>
      </w:r>
    </w:p>
    <w:p w14:paraId="4E36FFB8" w14:textId="77777777" w:rsidR="002D38DE" w:rsidRDefault="002D38DE" w:rsidP="002D38DE">
      <w:pPr>
        <w:pStyle w:val="ListParagraph"/>
        <w:numPr>
          <w:ilvl w:val="1"/>
          <w:numId w:val="2"/>
        </w:numPr>
      </w:pPr>
      <w:r>
        <w:t>Pumps</w:t>
      </w:r>
    </w:p>
    <w:p w14:paraId="2EFD1275" w14:textId="77777777" w:rsidR="002D38DE" w:rsidRDefault="002D38DE" w:rsidP="002D38DE">
      <w:pPr>
        <w:pStyle w:val="ListParagraph"/>
        <w:numPr>
          <w:ilvl w:val="2"/>
          <w:numId w:val="2"/>
        </w:numPr>
      </w:pPr>
      <w:r>
        <w:t xml:space="preserve">Centrifugal pumps are most widely used – there are some </w:t>
      </w:r>
      <w:r w:rsidR="0071518D">
        <w:t>possible</w:t>
      </w:r>
      <w:r w:rsidR="0076417E">
        <w:t xml:space="preserve"> </w:t>
      </w:r>
      <w:r>
        <w:t xml:space="preserve">issues with </w:t>
      </w:r>
      <w:r w:rsidR="0044059C">
        <w:t>fluorescence measurements (induced fluorescence by agitation)</w:t>
      </w:r>
    </w:p>
    <w:p w14:paraId="3DB9D976" w14:textId="77777777" w:rsidR="0044059C" w:rsidRDefault="0044059C" w:rsidP="002D38DE">
      <w:pPr>
        <w:pStyle w:val="ListParagraph"/>
        <w:numPr>
          <w:ilvl w:val="2"/>
          <w:numId w:val="2"/>
        </w:numPr>
      </w:pPr>
      <w:r>
        <w:t>Large piston pumps are an alternative but</w:t>
      </w:r>
      <w:r w:rsidR="008C1049">
        <w:t xml:space="preserve"> expensive</w:t>
      </w:r>
      <w:r w:rsidR="00E0003B">
        <w:t>,</w:t>
      </w:r>
      <w:r>
        <w:t xml:space="preserve"> not well</w:t>
      </w:r>
      <w:r w:rsidR="008C1049">
        <w:t xml:space="preserve"> </w:t>
      </w:r>
      <w:r>
        <w:t>tested</w:t>
      </w:r>
      <w:r w:rsidR="008C1049">
        <w:t xml:space="preserve"> and possible issues with pulsation</w:t>
      </w:r>
    </w:p>
    <w:p w14:paraId="1DD85E3C" w14:textId="77777777" w:rsidR="0044059C" w:rsidRDefault="0044059C" w:rsidP="002D38DE">
      <w:pPr>
        <w:pStyle w:val="ListParagraph"/>
        <w:numPr>
          <w:ilvl w:val="2"/>
          <w:numId w:val="2"/>
        </w:numPr>
      </w:pPr>
      <w:r>
        <w:t xml:space="preserve">Jet pumps </w:t>
      </w:r>
      <w:r w:rsidR="0076417E">
        <w:t>have</w:t>
      </w:r>
      <w:r>
        <w:t xml:space="preserve"> known issues with creating bubbles</w:t>
      </w:r>
    </w:p>
    <w:p w14:paraId="10A3D986" w14:textId="77777777" w:rsidR="0044059C" w:rsidRDefault="0044059C" w:rsidP="0044059C">
      <w:pPr>
        <w:pStyle w:val="ListParagraph"/>
        <w:numPr>
          <w:ilvl w:val="1"/>
          <w:numId w:val="2"/>
        </w:numPr>
      </w:pPr>
      <w:r>
        <w:t>Material</w:t>
      </w:r>
      <w:r w:rsidR="008C1049">
        <w:t xml:space="preserve">- Materials should be tested. A good way </w:t>
      </w:r>
      <w:r w:rsidR="0076417E">
        <w:t xml:space="preserve">to test materials and biofouling issues </w:t>
      </w:r>
      <w:r w:rsidR="008C1049">
        <w:t>is to stop the flow for a period of time and measure relevant concentrations right upon start-up</w:t>
      </w:r>
    </w:p>
    <w:p w14:paraId="78DCA638" w14:textId="77777777" w:rsidR="008C1049" w:rsidRDefault="008C1049" w:rsidP="0044059C">
      <w:pPr>
        <w:pStyle w:val="ListParagraph"/>
        <w:numPr>
          <w:ilvl w:val="2"/>
          <w:numId w:val="2"/>
        </w:numPr>
      </w:pPr>
      <w:r>
        <w:t>Soft steel piping are problematic</w:t>
      </w:r>
    </w:p>
    <w:p w14:paraId="43E1A98E" w14:textId="77777777" w:rsidR="008C1049" w:rsidRDefault="006D0816" w:rsidP="0044059C">
      <w:pPr>
        <w:pStyle w:val="ListParagraph"/>
        <w:numPr>
          <w:ilvl w:val="2"/>
          <w:numId w:val="2"/>
        </w:numPr>
      </w:pPr>
      <w:r>
        <w:t>Other steel and alloy</w:t>
      </w:r>
      <w:r w:rsidR="008C1049">
        <w:t xml:space="preserve"> not optimal</w:t>
      </w:r>
    </w:p>
    <w:p w14:paraId="43328620" w14:textId="77777777" w:rsidR="0044059C" w:rsidRDefault="0044059C" w:rsidP="0044059C">
      <w:pPr>
        <w:pStyle w:val="ListParagraph"/>
        <w:numPr>
          <w:ilvl w:val="2"/>
          <w:numId w:val="2"/>
        </w:numPr>
      </w:pPr>
      <w:r>
        <w:t xml:space="preserve"> </w:t>
      </w:r>
      <w:r w:rsidR="008C1049">
        <w:t xml:space="preserve">No </w:t>
      </w:r>
      <w:r>
        <w:t xml:space="preserve">strong recommendation </w:t>
      </w:r>
      <w:r w:rsidR="008C1049">
        <w:t xml:space="preserve">of synthetics but </w:t>
      </w:r>
      <w:r w:rsidR="001B4420">
        <w:t>generally</w:t>
      </w:r>
      <w:r w:rsidR="008C1049">
        <w:t xml:space="preserve"> the harder materials are better for gases </w:t>
      </w:r>
      <w:r>
        <w:t>(Teflon</w:t>
      </w:r>
      <w:r w:rsidR="008C1049">
        <w:t xml:space="preserve"> is good for trace metals but less so for gases)</w:t>
      </w:r>
    </w:p>
    <w:p w14:paraId="045055CA" w14:textId="77777777" w:rsidR="0044059C" w:rsidRDefault="008C1049" w:rsidP="0044059C">
      <w:pPr>
        <w:pStyle w:val="ListParagraph"/>
        <w:numPr>
          <w:ilvl w:val="2"/>
          <w:numId w:val="2"/>
        </w:numPr>
      </w:pPr>
      <w:r>
        <w:t>Long lengths</w:t>
      </w:r>
      <w:r w:rsidR="00384BB7">
        <w:t xml:space="preserve"> for</w:t>
      </w:r>
      <w:r>
        <w:t xml:space="preserve"> (</w:t>
      </w:r>
      <w:r w:rsidR="0044059C">
        <w:t>garden</w:t>
      </w:r>
      <w:r>
        <w:t>)</w:t>
      </w:r>
      <w:r w:rsidR="0044059C">
        <w:t xml:space="preserve"> hose </w:t>
      </w:r>
      <w:r w:rsidR="00384BB7">
        <w:t>are</w:t>
      </w:r>
      <w:r w:rsidR="0044059C">
        <w:t xml:space="preserve"> not </w:t>
      </w:r>
      <w:r>
        <w:t>optimal</w:t>
      </w:r>
      <w:r w:rsidR="0044059C">
        <w:t xml:space="preserve"> </w:t>
      </w:r>
      <w:r w:rsidR="00923C30">
        <w:t>for connecting system components</w:t>
      </w:r>
      <w:r w:rsidR="0044059C">
        <w:t xml:space="preserve">. “Conditioning” of </w:t>
      </w:r>
      <w:r w:rsidR="007532FD">
        <w:t xml:space="preserve">new </w:t>
      </w:r>
      <w:r w:rsidR="0044059C">
        <w:t>material is recommended</w:t>
      </w:r>
      <w:r w:rsidR="00603083">
        <w:t xml:space="preserve">.  </w:t>
      </w:r>
      <w:bookmarkStart w:id="0" w:name="_GoBack"/>
      <w:bookmarkEnd w:id="0"/>
    </w:p>
    <w:p w14:paraId="18F7E9E5" w14:textId="77777777" w:rsidR="0044059C" w:rsidRDefault="0044059C" w:rsidP="0044059C">
      <w:pPr>
        <w:pStyle w:val="ListParagraph"/>
        <w:numPr>
          <w:ilvl w:val="1"/>
          <w:numId w:val="2"/>
        </w:numPr>
      </w:pPr>
      <w:r>
        <w:t>De-bubblers</w:t>
      </w:r>
      <w:r w:rsidR="000863B6">
        <w:t>- remove bubbles from breaking waves and pump cavitation from the seawater lines</w:t>
      </w:r>
    </w:p>
    <w:p w14:paraId="79D4C2EA" w14:textId="77777777" w:rsidR="0044059C" w:rsidRDefault="0044059C" w:rsidP="0044059C">
      <w:pPr>
        <w:pStyle w:val="ListParagraph"/>
        <w:numPr>
          <w:ilvl w:val="2"/>
          <w:numId w:val="2"/>
        </w:numPr>
      </w:pPr>
      <w:proofErr w:type="spellStart"/>
      <w:r>
        <w:t>Salinometer</w:t>
      </w:r>
      <w:proofErr w:type="spellEnd"/>
      <w:r>
        <w:t xml:space="preserve"> and optical sensors/instruments </w:t>
      </w:r>
      <w:r w:rsidR="008E6546">
        <w:t xml:space="preserve">that are impacted by bubbles </w:t>
      </w:r>
      <w:r>
        <w:t xml:space="preserve">should be </w:t>
      </w:r>
      <w:r w:rsidR="000863B6">
        <w:t xml:space="preserve">placed </w:t>
      </w:r>
      <w:r>
        <w:t>after the de-bubbler</w:t>
      </w:r>
    </w:p>
    <w:p w14:paraId="72468B35" w14:textId="77777777" w:rsidR="0044059C" w:rsidRDefault="0044059C" w:rsidP="0044059C">
      <w:pPr>
        <w:pStyle w:val="ListParagraph"/>
        <w:numPr>
          <w:ilvl w:val="2"/>
          <w:numId w:val="2"/>
        </w:numPr>
      </w:pPr>
      <w:r>
        <w:t xml:space="preserve">Effect of the de-bubbler on gases is not established with </w:t>
      </w:r>
      <w:r w:rsidR="000863B6">
        <w:t xml:space="preserve">insoluble gases such as </w:t>
      </w:r>
      <w:r>
        <w:t xml:space="preserve">oxygen being more vulnerable than </w:t>
      </w:r>
      <w:r w:rsidR="005F0C9E" w:rsidRPr="00012B71">
        <w:rPr>
          <w:i/>
        </w:rPr>
        <w:t>p</w:t>
      </w:r>
      <w:r>
        <w:t>CO</w:t>
      </w:r>
      <w:r w:rsidR="005F0C9E" w:rsidRPr="00012B71">
        <w:rPr>
          <w:vertAlign w:val="subscript"/>
        </w:rPr>
        <w:t>2</w:t>
      </w:r>
      <w:r w:rsidR="00DC014A">
        <w:t>.</w:t>
      </w:r>
    </w:p>
    <w:p w14:paraId="1757685E" w14:textId="77777777" w:rsidR="009226C0" w:rsidRDefault="009226C0" w:rsidP="009226C0">
      <w:pPr>
        <w:pStyle w:val="ListParagraph"/>
        <w:numPr>
          <w:ilvl w:val="0"/>
          <w:numId w:val="2"/>
        </w:numPr>
      </w:pPr>
      <w:r>
        <w:t>TEMPERATURE</w:t>
      </w:r>
    </w:p>
    <w:p w14:paraId="0F4B9839" w14:textId="77777777" w:rsidR="009226C0" w:rsidRDefault="009226C0" w:rsidP="009226C0">
      <w:pPr>
        <w:pStyle w:val="ListParagraph"/>
        <w:numPr>
          <w:ilvl w:val="1"/>
          <w:numId w:val="2"/>
        </w:numPr>
      </w:pPr>
      <w:r>
        <w:t>BEST</w:t>
      </w:r>
    </w:p>
    <w:p w14:paraId="621B6D6A" w14:textId="77777777" w:rsidR="009226C0" w:rsidRDefault="009226C0" w:rsidP="009226C0">
      <w:pPr>
        <w:pStyle w:val="ListParagraph"/>
        <w:numPr>
          <w:ilvl w:val="2"/>
          <w:numId w:val="2"/>
        </w:numPr>
      </w:pPr>
      <w:r>
        <w:t>A sensor with quantifiable accuracy  (</w:t>
      </w:r>
      <w:r w:rsidR="001B4420">
        <w:t>e.g.</w:t>
      </w:r>
      <w:r>
        <w:t xml:space="preserve"> </w:t>
      </w:r>
      <w:proofErr w:type="spellStart"/>
      <w:r>
        <w:t>SeaBird</w:t>
      </w:r>
      <w:proofErr w:type="spellEnd"/>
      <w:r>
        <w:t xml:space="preserve"> 38, </w:t>
      </w:r>
      <w:proofErr w:type="spellStart"/>
      <w:r>
        <w:t>SeaBird</w:t>
      </w:r>
      <w:proofErr w:type="spellEnd"/>
      <w:r>
        <w:t xml:space="preserve"> 21)</w:t>
      </w:r>
    </w:p>
    <w:p w14:paraId="514169E0" w14:textId="77777777" w:rsidR="009226C0" w:rsidRDefault="009226C0" w:rsidP="009226C0">
      <w:pPr>
        <w:pStyle w:val="ListParagraph"/>
        <w:numPr>
          <w:ilvl w:val="2"/>
          <w:numId w:val="2"/>
        </w:numPr>
      </w:pPr>
      <w:r>
        <w:t>Don’t just rely on manufacturers stated accuracy, lab calibrations</w:t>
      </w:r>
      <w:r w:rsidR="006B3BE3">
        <w:t xml:space="preserve"> and at sea comparisons (e.g. with CTD) </w:t>
      </w:r>
      <w:r>
        <w:t>are recommended</w:t>
      </w:r>
    </w:p>
    <w:p w14:paraId="5587A591" w14:textId="77777777" w:rsidR="009226C0" w:rsidRDefault="009226C0" w:rsidP="009226C0">
      <w:pPr>
        <w:pStyle w:val="ListParagraph"/>
        <w:numPr>
          <w:ilvl w:val="0"/>
          <w:numId w:val="2"/>
        </w:numPr>
      </w:pPr>
      <w:r>
        <w:t>CONDUCTIVITY</w:t>
      </w:r>
      <w:r w:rsidR="006B3BE3">
        <w:t>/Salinity</w:t>
      </w:r>
    </w:p>
    <w:p w14:paraId="4FE79ACB" w14:textId="77777777" w:rsidR="009226C0" w:rsidRDefault="009226C0" w:rsidP="009226C0">
      <w:pPr>
        <w:pStyle w:val="ListParagraph"/>
        <w:numPr>
          <w:ilvl w:val="1"/>
          <w:numId w:val="2"/>
        </w:numPr>
      </w:pPr>
      <w:r>
        <w:t>BEST</w:t>
      </w:r>
    </w:p>
    <w:p w14:paraId="032A45E7" w14:textId="77777777" w:rsidR="009226C0" w:rsidRDefault="007532FD" w:rsidP="009226C0">
      <w:pPr>
        <w:pStyle w:val="ListParagraph"/>
        <w:numPr>
          <w:ilvl w:val="2"/>
          <w:numId w:val="2"/>
        </w:numPr>
      </w:pPr>
      <w:r>
        <w:t>Take discrete samples for calibration</w:t>
      </w:r>
      <w:r w:rsidR="008A4DDC">
        <w:rPr>
          <w:rFonts w:eastAsia="바탕" w:hint="eastAsia"/>
          <w:lang w:eastAsia="ko-KR"/>
        </w:rPr>
        <w:t xml:space="preserve"> in situ.</w:t>
      </w:r>
      <w:r>
        <w:t xml:space="preserve"> </w:t>
      </w:r>
    </w:p>
    <w:p w14:paraId="07C84E77" w14:textId="77777777" w:rsidR="009226C0" w:rsidRDefault="007532FD" w:rsidP="009226C0">
      <w:pPr>
        <w:pStyle w:val="ListParagraph"/>
        <w:numPr>
          <w:ilvl w:val="2"/>
          <w:numId w:val="2"/>
        </w:numPr>
      </w:pPr>
      <w:r>
        <w:t xml:space="preserve">Calibrate against </w:t>
      </w:r>
      <w:r w:rsidR="008A4DDC">
        <w:rPr>
          <w:rFonts w:eastAsia="바탕" w:hint="eastAsia"/>
          <w:lang w:eastAsia="ko-KR"/>
        </w:rPr>
        <w:t xml:space="preserve">the values from </w:t>
      </w:r>
      <w:r>
        <w:t>CTD</w:t>
      </w:r>
    </w:p>
    <w:p w14:paraId="2A76F0C5" w14:textId="77777777" w:rsidR="00DC014A" w:rsidRDefault="00DC014A" w:rsidP="009226C0">
      <w:pPr>
        <w:pStyle w:val="ListParagraph"/>
        <w:numPr>
          <w:ilvl w:val="2"/>
          <w:numId w:val="2"/>
        </w:numPr>
      </w:pPr>
      <w:r>
        <w:lastRenderedPageBreak/>
        <w:t>Factory calibration is suggested by manufacturers</w:t>
      </w:r>
      <w:r w:rsidR="001025F4">
        <w:t xml:space="preserve"> at </w:t>
      </w:r>
      <w:r w:rsidR="009E17C1">
        <w:t>a</w:t>
      </w:r>
      <w:r w:rsidR="007532FD">
        <w:t xml:space="preserve"> </w:t>
      </w:r>
      <w:r w:rsidR="001025F4">
        <w:t>frequency of once per year</w:t>
      </w:r>
    </w:p>
    <w:p w14:paraId="2FFF6F41" w14:textId="77777777" w:rsidR="009226C0" w:rsidRDefault="009226C0" w:rsidP="009226C0">
      <w:pPr>
        <w:pStyle w:val="ListParagraph"/>
        <w:numPr>
          <w:ilvl w:val="2"/>
          <w:numId w:val="2"/>
        </w:numPr>
      </w:pPr>
      <w:r>
        <w:t>Required accuracy depends on the aim of the measurement</w:t>
      </w:r>
    </w:p>
    <w:p w14:paraId="755BD5F5" w14:textId="77777777" w:rsidR="009226C0" w:rsidRDefault="005F0C9E" w:rsidP="009226C0">
      <w:pPr>
        <w:pStyle w:val="ListParagraph"/>
        <w:numPr>
          <w:ilvl w:val="0"/>
          <w:numId w:val="2"/>
        </w:numPr>
      </w:pPr>
      <w:r w:rsidRPr="00012B71">
        <w:rPr>
          <w:i/>
        </w:rPr>
        <w:t>p</w:t>
      </w:r>
      <w:r w:rsidR="009226C0">
        <w:t>CO</w:t>
      </w:r>
      <w:r w:rsidRPr="00012B71">
        <w:rPr>
          <w:vertAlign w:val="subscript"/>
        </w:rPr>
        <w:t>2</w:t>
      </w:r>
    </w:p>
    <w:p w14:paraId="5F2C092E" w14:textId="77777777" w:rsidR="009226C0" w:rsidRDefault="009226C0" w:rsidP="009226C0">
      <w:pPr>
        <w:pStyle w:val="ListParagraph"/>
        <w:numPr>
          <w:ilvl w:val="1"/>
          <w:numId w:val="2"/>
        </w:numPr>
      </w:pPr>
      <w:r>
        <w:t>BEST</w:t>
      </w:r>
      <w:r w:rsidR="005B130B">
        <w:t>- measurements are accurate to within 2 µ</w:t>
      </w:r>
      <w:proofErr w:type="spellStart"/>
      <w:r w:rsidR="005B130B">
        <w:t>atm</w:t>
      </w:r>
      <w:proofErr w:type="spellEnd"/>
    </w:p>
    <w:p w14:paraId="376924F8" w14:textId="77777777" w:rsidR="009226C0" w:rsidRDefault="009226C0" w:rsidP="009226C0">
      <w:pPr>
        <w:pStyle w:val="ListParagraph"/>
        <w:numPr>
          <w:ilvl w:val="2"/>
          <w:numId w:val="2"/>
        </w:numPr>
      </w:pPr>
      <w:r>
        <w:t>In general follow the SOCAT cookbook recommendations</w:t>
      </w:r>
      <w:r w:rsidR="001B7295">
        <w:t xml:space="preserve"> (www.SOCAT.info)</w:t>
      </w:r>
    </w:p>
    <w:p w14:paraId="57BC1037" w14:textId="77777777" w:rsidR="009226C0" w:rsidRDefault="009226C0" w:rsidP="009226C0">
      <w:pPr>
        <w:pStyle w:val="ListParagraph"/>
        <w:numPr>
          <w:ilvl w:val="2"/>
          <w:numId w:val="2"/>
        </w:numPr>
      </w:pPr>
      <w:r>
        <w:t>Head-space, equilibrator based, IR or GC based approach with use of</w:t>
      </w:r>
      <w:r w:rsidR="002E463C">
        <w:t xml:space="preserve">, at minimum, </w:t>
      </w:r>
      <w:r>
        <w:t>2 non-zero traceable standard gases</w:t>
      </w:r>
    </w:p>
    <w:p w14:paraId="64C6EAD1" w14:textId="77777777" w:rsidR="00C71F49" w:rsidRDefault="009226C0" w:rsidP="00C71F49">
      <w:pPr>
        <w:pStyle w:val="ListParagraph"/>
        <w:numPr>
          <w:ilvl w:val="1"/>
          <w:numId w:val="2"/>
        </w:numPr>
      </w:pPr>
      <w:r>
        <w:t>EMERGING TECHNOLOGY</w:t>
      </w:r>
    </w:p>
    <w:p w14:paraId="3E2B2FCA" w14:textId="77777777" w:rsidR="009226C0" w:rsidRPr="00C71F49" w:rsidRDefault="00C71F49" w:rsidP="00C71F49">
      <w:pPr>
        <w:pStyle w:val="ListParagraph"/>
        <w:numPr>
          <w:ilvl w:val="2"/>
          <w:numId w:val="2"/>
        </w:numPr>
      </w:pPr>
      <w:r w:rsidRPr="00C71F49">
        <w:rPr>
          <w:rFonts w:cs="Arial"/>
          <w:lang w:val="en-US"/>
        </w:rPr>
        <w:t xml:space="preserve">Cavity </w:t>
      </w:r>
      <w:r>
        <w:rPr>
          <w:rFonts w:cs="Arial"/>
          <w:lang w:val="en-US"/>
        </w:rPr>
        <w:t>Ring-Down Spectroscopy analyzer</w:t>
      </w:r>
    </w:p>
    <w:p w14:paraId="19D52663" w14:textId="77777777" w:rsidR="00C71F49" w:rsidRPr="00C71F49" w:rsidRDefault="00C71F49" w:rsidP="00C71F49">
      <w:pPr>
        <w:pStyle w:val="ListParagraph"/>
        <w:numPr>
          <w:ilvl w:val="3"/>
          <w:numId w:val="2"/>
        </w:numPr>
      </w:pPr>
      <w:r>
        <w:rPr>
          <w:rFonts w:cs="Arial"/>
          <w:lang w:val="en-US"/>
        </w:rPr>
        <w:t>Much more expensive</w:t>
      </w:r>
    </w:p>
    <w:p w14:paraId="212E5AD1" w14:textId="77777777" w:rsidR="00C71F49" w:rsidRPr="002B67BF" w:rsidRDefault="00C71F49" w:rsidP="00C71F49">
      <w:pPr>
        <w:pStyle w:val="ListParagraph"/>
        <w:numPr>
          <w:ilvl w:val="3"/>
          <w:numId w:val="2"/>
        </w:numPr>
      </w:pPr>
      <w:r>
        <w:rPr>
          <w:rFonts w:cs="Arial"/>
          <w:lang w:val="en-US"/>
        </w:rPr>
        <w:t>Potential for minimization of calibration/</w:t>
      </w:r>
      <w:proofErr w:type="gramStart"/>
      <w:r w:rsidR="00F51C5F">
        <w:rPr>
          <w:rFonts w:cs="Arial"/>
          <w:lang w:val="en-US"/>
        </w:rPr>
        <w:t xml:space="preserve">standardization  </w:t>
      </w:r>
      <w:r>
        <w:rPr>
          <w:rFonts w:cs="Arial"/>
          <w:lang w:val="en-US"/>
        </w:rPr>
        <w:t>issues</w:t>
      </w:r>
      <w:proofErr w:type="gramEnd"/>
    </w:p>
    <w:p w14:paraId="0A5EB5E8" w14:textId="77777777" w:rsidR="002B67BF" w:rsidRPr="00C71F49" w:rsidRDefault="002B67BF" w:rsidP="00C71F49">
      <w:pPr>
        <w:pStyle w:val="ListParagraph"/>
        <w:numPr>
          <w:ilvl w:val="3"/>
          <w:numId w:val="2"/>
        </w:numPr>
      </w:pPr>
      <w:r>
        <w:rPr>
          <w:rFonts w:cs="Arial"/>
          <w:lang w:val="en-US"/>
        </w:rPr>
        <w:t>Lower cost IR’s</w:t>
      </w:r>
      <w:r w:rsidR="000C6E93">
        <w:rPr>
          <w:rFonts w:cs="Arial"/>
          <w:lang w:val="en-US"/>
        </w:rPr>
        <w:t xml:space="preserve"> (</w:t>
      </w:r>
      <w:proofErr w:type="spellStart"/>
      <w:r w:rsidR="000C6E93">
        <w:rPr>
          <w:rFonts w:cs="Arial"/>
          <w:lang w:val="en-US"/>
        </w:rPr>
        <w:t>e.g</w:t>
      </w:r>
      <w:proofErr w:type="spellEnd"/>
      <w:r w:rsidR="000C6E93">
        <w:rPr>
          <w:rFonts w:cs="Arial"/>
          <w:lang w:val="en-US"/>
        </w:rPr>
        <w:t xml:space="preserve"> LICOR 840)</w:t>
      </w:r>
    </w:p>
    <w:p w14:paraId="6E753EAC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 xml:space="preserve">IOCCP </w:t>
      </w:r>
      <w:r w:rsidR="002B67BF">
        <w:rPr>
          <w:rFonts w:cs="Arial"/>
          <w:lang w:val="en-US"/>
        </w:rPr>
        <w:t>has a list of manufacturers on their website</w:t>
      </w:r>
      <w:r w:rsidR="000F6AF8">
        <w:rPr>
          <w:rFonts w:cs="Arial"/>
          <w:lang w:val="en-US"/>
        </w:rPr>
        <w:t>.</w:t>
      </w:r>
      <w:r w:rsidR="002E0257">
        <w:rPr>
          <w:rFonts w:cs="Arial"/>
          <w:lang w:val="en-US"/>
        </w:rPr>
        <w:t xml:space="preserve"> </w:t>
      </w:r>
      <w:r w:rsidR="000F6AF8">
        <w:rPr>
          <w:rFonts w:cs="Arial"/>
          <w:lang w:val="en-US"/>
        </w:rPr>
        <w:t>R</w:t>
      </w:r>
      <w:r>
        <w:rPr>
          <w:rFonts w:cs="Arial"/>
          <w:lang w:val="en-US"/>
        </w:rPr>
        <w:t xml:space="preserve">ecommendations regarding the use of new platforms and sensors for </w:t>
      </w:r>
      <w:r w:rsidR="005F0C9E" w:rsidRPr="00012B71">
        <w:rPr>
          <w:rFonts w:cs="Arial"/>
          <w:i/>
          <w:lang w:val="en-US"/>
        </w:rPr>
        <w:t>p</w:t>
      </w:r>
      <w:r>
        <w:rPr>
          <w:rFonts w:cs="Arial"/>
          <w:lang w:val="en-US"/>
        </w:rPr>
        <w:t>CO</w:t>
      </w:r>
      <w:r w:rsidR="005F0C9E" w:rsidRPr="00012B71">
        <w:rPr>
          <w:rFonts w:cs="Arial"/>
          <w:vertAlign w:val="subscript"/>
          <w:lang w:val="en-US"/>
        </w:rPr>
        <w:t>2</w:t>
      </w:r>
      <w:r>
        <w:rPr>
          <w:rFonts w:cs="Arial"/>
          <w:lang w:val="en-US"/>
        </w:rPr>
        <w:t xml:space="preserve"> measurements will be available soon</w:t>
      </w:r>
    </w:p>
    <w:p w14:paraId="22F251EF" w14:textId="77777777" w:rsidR="00C71F49" w:rsidRPr="00C71F49" w:rsidRDefault="00C71F49" w:rsidP="00C71F49">
      <w:pPr>
        <w:pStyle w:val="ListParagraph"/>
        <w:numPr>
          <w:ilvl w:val="0"/>
          <w:numId w:val="2"/>
        </w:numPr>
      </w:pPr>
      <w:r>
        <w:rPr>
          <w:rFonts w:cs="Arial"/>
          <w:lang w:val="en-US"/>
        </w:rPr>
        <w:t>pH</w:t>
      </w:r>
    </w:p>
    <w:p w14:paraId="453E04A2" w14:textId="77777777" w:rsidR="00C71F49" w:rsidRPr="00C71F49" w:rsidRDefault="00C71F49" w:rsidP="00C71F49">
      <w:pPr>
        <w:pStyle w:val="ListParagraph"/>
        <w:numPr>
          <w:ilvl w:val="1"/>
          <w:numId w:val="2"/>
        </w:numPr>
      </w:pPr>
      <w:r>
        <w:rPr>
          <w:rFonts w:cs="Arial"/>
          <w:lang w:val="en-US"/>
        </w:rPr>
        <w:t>BEST</w:t>
      </w:r>
    </w:p>
    <w:p w14:paraId="77448746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Spectrophotometric method</w:t>
      </w:r>
    </w:p>
    <w:p w14:paraId="1B069320" w14:textId="77777777" w:rsidR="00C71F49" w:rsidRPr="00C71F49" w:rsidRDefault="00C71F49" w:rsidP="00C71F49">
      <w:pPr>
        <w:pStyle w:val="ListParagraph"/>
        <w:numPr>
          <w:ilvl w:val="1"/>
          <w:numId w:val="2"/>
        </w:numPr>
      </w:pPr>
      <w:r>
        <w:rPr>
          <w:rFonts w:cs="Arial"/>
          <w:lang w:val="en-US"/>
        </w:rPr>
        <w:t>EMERGING TECHNOLOGY</w:t>
      </w:r>
    </w:p>
    <w:p w14:paraId="6646EE7E" w14:textId="77777777" w:rsidR="00C71F49" w:rsidRPr="00C71F49" w:rsidRDefault="0072156A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Ion sensitive field effect transistor (</w:t>
      </w:r>
      <w:proofErr w:type="spellStart"/>
      <w:r w:rsidR="001B4420">
        <w:rPr>
          <w:rFonts w:cs="Arial"/>
          <w:lang w:val="en-US"/>
        </w:rPr>
        <w:t>Durafet</w:t>
      </w:r>
      <w:proofErr w:type="spellEnd"/>
      <w:r w:rsidR="001B4420">
        <w:rPr>
          <w:rFonts w:cs="Arial"/>
          <w:lang w:val="en-US"/>
        </w:rPr>
        <w:t>) sensors</w:t>
      </w:r>
    </w:p>
    <w:p w14:paraId="4A3836A2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This is a very active and rapidly developing field</w:t>
      </w:r>
    </w:p>
    <w:p w14:paraId="6994BD0A" w14:textId="77777777" w:rsidR="00C71F49" w:rsidRPr="00C71F49" w:rsidRDefault="00C71F49" w:rsidP="00C71F49">
      <w:pPr>
        <w:pStyle w:val="ListParagraph"/>
        <w:numPr>
          <w:ilvl w:val="1"/>
          <w:numId w:val="2"/>
        </w:numPr>
      </w:pPr>
      <w:r>
        <w:rPr>
          <w:rFonts w:cs="Arial"/>
          <w:lang w:val="en-US"/>
        </w:rPr>
        <w:t>STANDARDS</w:t>
      </w:r>
    </w:p>
    <w:p w14:paraId="0A2520D2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t>Standardization is a critical next step and we strongly support initiatives aiming at establishing relevant standards</w:t>
      </w:r>
    </w:p>
    <w:p w14:paraId="4D68D940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 xml:space="preserve">Use of purified dyes </w:t>
      </w:r>
      <w:r w:rsidR="0072156A">
        <w:rPr>
          <w:rFonts w:cs="Arial"/>
          <w:lang w:val="en-US"/>
        </w:rPr>
        <w:t xml:space="preserve">for pH </w:t>
      </w:r>
      <w:r>
        <w:rPr>
          <w:rFonts w:cs="Arial"/>
          <w:lang w:val="en-US"/>
        </w:rPr>
        <w:t>is recommended</w:t>
      </w:r>
      <w:r w:rsidR="00016BFA">
        <w:rPr>
          <w:rFonts w:cs="Arial"/>
          <w:lang w:val="en-US"/>
        </w:rPr>
        <w:t xml:space="preserve"> (REF)</w:t>
      </w:r>
    </w:p>
    <w:p w14:paraId="4A635899" w14:textId="77777777" w:rsidR="00C71F49" w:rsidRPr="00C71F49" w:rsidRDefault="00C71F49" w:rsidP="00C71F49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Issues with commercially available dyes (</w:t>
      </w:r>
      <w:r w:rsidR="001B4420">
        <w:rPr>
          <w:rFonts w:cs="Arial"/>
          <w:lang w:val="en-US"/>
        </w:rPr>
        <w:t>impurities</w:t>
      </w:r>
      <w:r>
        <w:rPr>
          <w:rFonts w:cs="Arial"/>
          <w:lang w:val="en-US"/>
        </w:rPr>
        <w:t>)</w:t>
      </w:r>
    </w:p>
    <w:p w14:paraId="604AB215" w14:textId="77777777" w:rsidR="00C71F49" w:rsidRPr="00834053" w:rsidRDefault="00C71F49" w:rsidP="00834053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Choice of a dye should be dictated by the expected range in the study area</w:t>
      </w:r>
    </w:p>
    <w:p w14:paraId="2C9EBAED" w14:textId="77777777" w:rsidR="00834053" w:rsidRPr="00834053" w:rsidRDefault="00834053" w:rsidP="00834053">
      <w:pPr>
        <w:pStyle w:val="ListParagraph"/>
        <w:numPr>
          <w:ilvl w:val="0"/>
          <w:numId w:val="2"/>
        </w:numPr>
      </w:pPr>
      <w:r w:rsidRPr="00834053">
        <w:rPr>
          <w:rFonts w:cs="Arial"/>
          <w:vertAlign w:val="superscript"/>
          <w:lang w:val="en-US"/>
        </w:rPr>
        <w:t>13</w:t>
      </w:r>
      <w:r>
        <w:rPr>
          <w:rFonts w:cs="Arial"/>
          <w:lang w:val="en-US"/>
        </w:rPr>
        <w:t>C of DIC</w:t>
      </w:r>
    </w:p>
    <w:p w14:paraId="6075F422" w14:textId="77777777" w:rsidR="00834053" w:rsidRPr="00C71F49" w:rsidRDefault="00834053" w:rsidP="00834053">
      <w:pPr>
        <w:pStyle w:val="ListParagraph"/>
        <w:numPr>
          <w:ilvl w:val="1"/>
          <w:numId w:val="2"/>
        </w:numPr>
      </w:pPr>
      <w:r>
        <w:rPr>
          <w:rFonts w:cs="Arial"/>
          <w:lang w:val="en-US"/>
        </w:rPr>
        <w:t>EMERGING TECHNOLOGY</w:t>
      </w:r>
    </w:p>
    <w:p w14:paraId="2823949E" w14:textId="77777777" w:rsidR="00834053" w:rsidRPr="00C71F49" w:rsidRDefault="00834053" w:rsidP="00834053">
      <w:pPr>
        <w:pStyle w:val="ListParagraph"/>
        <w:numPr>
          <w:ilvl w:val="2"/>
          <w:numId w:val="2"/>
        </w:numPr>
      </w:pPr>
      <w:r>
        <w:t xml:space="preserve">Based on </w:t>
      </w:r>
      <w:r w:rsidRPr="00C71F49">
        <w:rPr>
          <w:rFonts w:cs="Arial"/>
          <w:lang w:val="en-US"/>
        </w:rPr>
        <w:t xml:space="preserve">Cavity </w:t>
      </w:r>
      <w:r>
        <w:rPr>
          <w:rFonts w:cs="Arial"/>
          <w:lang w:val="en-US"/>
        </w:rPr>
        <w:t>Ring-Down Spectroscopy analyzer</w:t>
      </w:r>
      <w:r w:rsidR="0072156A">
        <w:rPr>
          <w:rFonts w:cs="Arial"/>
          <w:lang w:val="en-US"/>
        </w:rPr>
        <w:t xml:space="preserve"> good to 0.3 </w:t>
      </w:r>
      <w:r w:rsidR="006C66CA">
        <w:rPr>
          <w:rFonts w:cs="Arial"/>
          <w:lang w:val="en-US"/>
        </w:rPr>
        <w:t>per mil</w:t>
      </w:r>
      <w:r w:rsidR="007532FD">
        <w:rPr>
          <w:rFonts w:cs="Arial"/>
          <w:lang w:val="en-US"/>
        </w:rPr>
        <w:t xml:space="preserve"> (Becker et al. 2012)</w:t>
      </w:r>
    </w:p>
    <w:p w14:paraId="78094A2F" w14:textId="77777777" w:rsidR="00834053" w:rsidRDefault="00834053" w:rsidP="00834053">
      <w:pPr>
        <w:pStyle w:val="ListParagraph"/>
        <w:numPr>
          <w:ilvl w:val="0"/>
          <w:numId w:val="2"/>
        </w:numPr>
      </w:pPr>
      <w:r>
        <w:t>DIC</w:t>
      </w:r>
      <w:r w:rsidR="00B52649">
        <w:t xml:space="preserve"> (total dissolved inorganic carbon)</w:t>
      </w:r>
    </w:p>
    <w:p w14:paraId="176FF6A5" w14:textId="77777777" w:rsidR="00834053" w:rsidRDefault="00783905" w:rsidP="00834053">
      <w:pPr>
        <w:pStyle w:val="ListParagraph"/>
        <w:numPr>
          <w:ilvl w:val="1"/>
          <w:numId w:val="2"/>
        </w:numPr>
      </w:pPr>
      <w:r>
        <w:t>AVAILABLE (EMERGING) TECHNOLOGY</w:t>
      </w:r>
    </w:p>
    <w:p w14:paraId="3D55DE4D" w14:textId="77777777" w:rsidR="00783905" w:rsidRDefault="00783905" w:rsidP="00783905">
      <w:pPr>
        <w:pStyle w:val="ListParagraph"/>
        <w:numPr>
          <w:ilvl w:val="2"/>
          <w:numId w:val="2"/>
        </w:numPr>
      </w:pPr>
      <w:r>
        <w:t xml:space="preserve">Based on modifications to the </w:t>
      </w:r>
      <w:r w:rsidR="0072156A">
        <w:t xml:space="preserve">IR based </w:t>
      </w:r>
      <w:r>
        <w:t>discrete sampling instrument</w:t>
      </w:r>
      <w:r w:rsidR="0072156A">
        <w:t>s</w:t>
      </w:r>
    </w:p>
    <w:p w14:paraId="223DF8F4" w14:textId="77777777" w:rsidR="00783905" w:rsidRDefault="00783905" w:rsidP="00783905">
      <w:pPr>
        <w:pStyle w:val="ListParagraph"/>
        <w:numPr>
          <w:ilvl w:val="2"/>
          <w:numId w:val="2"/>
        </w:numPr>
      </w:pPr>
      <w:r>
        <w:t>More automation is required, at the moment it is a labour intensive technique</w:t>
      </w:r>
    </w:p>
    <w:p w14:paraId="3E847F55" w14:textId="77777777" w:rsidR="00783905" w:rsidRDefault="00783905" w:rsidP="00783905">
      <w:pPr>
        <w:pStyle w:val="ListParagraph"/>
        <w:numPr>
          <w:ilvl w:val="0"/>
          <w:numId w:val="2"/>
        </w:numPr>
      </w:pPr>
      <w:r>
        <w:t>FLUORESCENCE</w:t>
      </w:r>
    </w:p>
    <w:p w14:paraId="7C15BFC9" w14:textId="77777777" w:rsidR="00783905" w:rsidRPr="00783905" w:rsidRDefault="00783905" w:rsidP="00783905">
      <w:pPr>
        <w:pStyle w:val="ListParagraph"/>
        <w:numPr>
          <w:ilvl w:val="1"/>
          <w:numId w:val="2"/>
        </w:numPr>
      </w:pPr>
      <w:r>
        <w:t xml:space="preserve">Based on </w:t>
      </w:r>
      <w:proofErr w:type="spellStart"/>
      <w:r>
        <w:t>fluorometer</w:t>
      </w:r>
      <w:proofErr w:type="spellEnd"/>
      <w:r>
        <w:t xml:space="preserve"> (e</w:t>
      </w:r>
      <w:r w:rsidR="0072156A">
        <w:t>.</w:t>
      </w:r>
      <w:r>
        <w:t xml:space="preserve">g. </w:t>
      </w:r>
      <w:proofErr w:type="spellStart"/>
      <w:r w:rsidRPr="00783905">
        <w:rPr>
          <w:rFonts w:cs="Arial"/>
          <w:lang w:val="en-US"/>
        </w:rPr>
        <w:t>WetLab</w:t>
      </w:r>
      <w:proofErr w:type="spellEnd"/>
      <w:r w:rsidRPr="00783905">
        <w:rPr>
          <w:rFonts w:cs="Arial"/>
          <w:lang w:val="en-US"/>
        </w:rPr>
        <w:t xml:space="preserve"> ECO and Turner 10-AU-005</w:t>
      </w:r>
      <w:r>
        <w:rPr>
          <w:rFonts w:cs="Arial"/>
          <w:lang w:val="en-US"/>
        </w:rPr>
        <w:t>)</w:t>
      </w:r>
    </w:p>
    <w:p w14:paraId="696B6F0A" w14:textId="77777777" w:rsidR="00783905" w:rsidRPr="00783905" w:rsidRDefault="00783905" w:rsidP="00783905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 xml:space="preserve">Systematic calibration procedure </w:t>
      </w:r>
      <w:r w:rsidR="0072156A">
        <w:rPr>
          <w:rFonts w:cs="Arial"/>
          <w:lang w:val="en-US"/>
        </w:rPr>
        <w:t>and protocol</w:t>
      </w:r>
      <w:r w:rsidR="00B52649">
        <w:rPr>
          <w:rFonts w:cs="Arial"/>
          <w:lang w:val="en-US"/>
        </w:rPr>
        <w:t>s</w:t>
      </w:r>
      <w:r w:rsidR="0072156A">
        <w:rPr>
          <w:rFonts w:cs="Arial"/>
          <w:lang w:val="en-US"/>
        </w:rPr>
        <w:t xml:space="preserve"> </w:t>
      </w:r>
      <w:r w:rsidR="00B52649">
        <w:rPr>
          <w:rFonts w:cs="Arial"/>
          <w:lang w:val="en-US"/>
        </w:rPr>
        <w:t xml:space="preserve">are </w:t>
      </w:r>
      <w:r w:rsidR="0072156A">
        <w:rPr>
          <w:rFonts w:cs="Arial"/>
          <w:lang w:val="en-US"/>
        </w:rPr>
        <w:t>critical</w:t>
      </w:r>
    </w:p>
    <w:p w14:paraId="598FB78F" w14:textId="77777777" w:rsidR="00783905" w:rsidRPr="00783905" w:rsidRDefault="00783905" w:rsidP="00783905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 xml:space="preserve">Calibration frequency should account for a diurnal </w:t>
      </w:r>
      <w:r w:rsidR="008A4DDC">
        <w:rPr>
          <w:rFonts w:eastAsia="바탕" w:cs="Arial" w:hint="eastAsia"/>
          <w:lang w:val="en-US" w:eastAsia="ko-KR"/>
        </w:rPr>
        <w:t xml:space="preserve">(daily or 24 hours?) </w:t>
      </w:r>
      <w:r>
        <w:rPr>
          <w:rFonts w:cs="Arial"/>
          <w:lang w:val="en-US"/>
        </w:rPr>
        <w:t>variability</w:t>
      </w:r>
    </w:p>
    <w:p w14:paraId="7981DC7C" w14:textId="77777777" w:rsidR="00783905" w:rsidRPr="00783905" w:rsidRDefault="00783905" w:rsidP="00783905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lastRenderedPageBreak/>
        <w:t>Recommended frequency: at least twice</w:t>
      </w:r>
      <w:r w:rsidR="00F04D9F">
        <w:rPr>
          <w:rFonts w:cs="Arial"/>
          <w:lang w:val="en-US"/>
        </w:rPr>
        <w:t xml:space="preserve"> a</w:t>
      </w:r>
      <w:r>
        <w:rPr>
          <w:rFonts w:cs="Arial"/>
          <w:lang w:val="en-US"/>
        </w:rPr>
        <w:t xml:space="preserve"> day, optimally 4 times a day (BEST)</w:t>
      </w:r>
    </w:p>
    <w:p w14:paraId="05F484B3" w14:textId="77777777" w:rsidR="00783905" w:rsidRPr="00783905" w:rsidRDefault="00783905" w:rsidP="00783905">
      <w:pPr>
        <w:pStyle w:val="ListParagraph"/>
        <w:numPr>
          <w:ilvl w:val="2"/>
          <w:numId w:val="2"/>
        </w:numPr>
      </w:pPr>
      <w:r>
        <w:rPr>
          <w:rFonts w:cs="Arial"/>
          <w:lang w:val="en-US"/>
        </w:rPr>
        <w:t>Comparison to the</w:t>
      </w:r>
      <w:r w:rsidR="00F04D9F">
        <w:rPr>
          <w:rFonts w:cs="Arial"/>
          <w:lang w:val="en-US"/>
        </w:rPr>
        <w:t xml:space="preserve"> extracted </w:t>
      </w:r>
      <w:proofErr w:type="spellStart"/>
      <w:r w:rsidR="00F04D9F">
        <w:rPr>
          <w:rFonts w:cs="Arial"/>
          <w:lang w:val="en-US"/>
        </w:rPr>
        <w:t>cholorophyll</w:t>
      </w:r>
      <w:proofErr w:type="spellEnd"/>
      <w:r w:rsidR="00F04D9F">
        <w:rPr>
          <w:rFonts w:cs="Arial"/>
          <w:lang w:val="en-US"/>
        </w:rPr>
        <w:t xml:space="preserve"> obtained from</w:t>
      </w:r>
      <w:r>
        <w:rPr>
          <w:rFonts w:cs="Arial"/>
          <w:lang w:val="en-US"/>
        </w:rPr>
        <w:t xml:space="preserve"> CTD bottled data is acceptable as a validation procedure (GOOD)</w:t>
      </w:r>
    </w:p>
    <w:p w14:paraId="1093800D" w14:textId="77777777" w:rsidR="00783905" w:rsidRPr="00783905" w:rsidRDefault="00985BB3" w:rsidP="00783905">
      <w:pPr>
        <w:pStyle w:val="ListParagraph"/>
        <w:numPr>
          <w:ilvl w:val="2"/>
          <w:numId w:val="2"/>
        </w:numPr>
      </w:pPr>
      <w:proofErr w:type="spellStart"/>
      <w:r>
        <w:rPr>
          <w:rFonts w:cs="Arial"/>
          <w:lang w:val="en-US"/>
        </w:rPr>
        <w:t>Un</w:t>
      </w:r>
      <w:r w:rsidR="00783905">
        <w:rPr>
          <w:rFonts w:cs="Arial"/>
          <w:lang w:val="en-US"/>
        </w:rPr>
        <w:t>calibrated</w:t>
      </w:r>
      <w:proofErr w:type="spellEnd"/>
      <w:r w:rsidR="00783905">
        <w:rPr>
          <w:rFonts w:cs="Arial"/>
          <w:lang w:val="en-US"/>
        </w:rPr>
        <w:t xml:space="preserve"> measurements </w:t>
      </w:r>
      <w:r w:rsidR="001C29EE">
        <w:rPr>
          <w:rFonts w:cs="Arial"/>
          <w:lang w:val="en-US"/>
        </w:rPr>
        <w:t>provide qualitative information on spatial and temporal variability which</w:t>
      </w:r>
      <w:r w:rsidR="00AB18A0">
        <w:rPr>
          <w:rFonts w:cs="Arial"/>
          <w:lang w:val="en-US"/>
        </w:rPr>
        <w:t xml:space="preserve"> is useful if the </w:t>
      </w:r>
      <w:proofErr w:type="spellStart"/>
      <w:r w:rsidR="00AB18A0">
        <w:rPr>
          <w:rFonts w:cs="Arial"/>
          <w:lang w:val="en-US"/>
        </w:rPr>
        <w:t>fluorometers</w:t>
      </w:r>
      <w:proofErr w:type="spellEnd"/>
      <w:r w:rsidR="00AB18A0">
        <w:rPr>
          <w:rFonts w:cs="Arial"/>
          <w:lang w:val="en-US"/>
        </w:rPr>
        <w:t xml:space="preserve"> </w:t>
      </w:r>
      <w:r w:rsidR="001C29EE">
        <w:rPr>
          <w:rFonts w:cs="Arial"/>
          <w:lang w:val="en-US"/>
        </w:rPr>
        <w:t>are frequently cleaned</w:t>
      </w:r>
      <w:r w:rsidR="00740EBF">
        <w:rPr>
          <w:rFonts w:cs="Arial"/>
          <w:lang w:val="en-US"/>
        </w:rPr>
        <w:t>.</w:t>
      </w:r>
    </w:p>
    <w:p w14:paraId="05A42EF8" w14:textId="77777777" w:rsidR="00783905" w:rsidRPr="00783905" w:rsidRDefault="00783905" w:rsidP="00783905">
      <w:pPr>
        <w:pStyle w:val="ListParagraph"/>
        <w:numPr>
          <w:ilvl w:val="0"/>
          <w:numId w:val="2"/>
        </w:numPr>
      </w:pPr>
      <w:r>
        <w:rPr>
          <w:rFonts w:cs="Arial"/>
          <w:lang w:val="en-US"/>
        </w:rPr>
        <w:t>OXYGEN</w:t>
      </w:r>
    </w:p>
    <w:p w14:paraId="06AA9512" w14:textId="77777777" w:rsidR="00783905" w:rsidRDefault="00783905" w:rsidP="00783905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Sensor technology </w:t>
      </w:r>
      <w:r w:rsidR="00136B00">
        <w:rPr>
          <w:rFonts w:cs="Arial"/>
          <w:lang w:val="en-US"/>
        </w:rPr>
        <w:t>has</w:t>
      </w:r>
      <w:r>
        <w:rPr>
          <w:rFonts w:cs="Arial"/>
          <w:lang w:val="en-US"/>
        </w:rPr>
        <w:t xml:space="preserve"> matured. Use of available sensors (e</w:t>
      </w:r>
      <w:r w:rsidR="00136B00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g. </w:t>
      </w:r>
      <w:proofErr w:type="spellStart"/>
      <w:r w:rsidRPr="00783905">
        <w:rPr>
          <w:rFonts w:cs="Arial"/>
          <w:lang w:val="en-US"/>
        </w:rPr>
        <w:t>SeaBird</w:t>
      </w:r>
      <w:proofErr w:type="spellEnd"/>
      <w:r w:rsidRPr="00783905">
        <w:rPr>
          <w:rFonts w:cs="Arial"/>
          <w:lang w:val="en-US"/>
        </w:rPr>
        <w:t xml:space="preserve"> IDO</w:t>
      </w:r>
      <w:r>
        <w:rPr>
          <w:rFonts w:cs="Arial"/>
          <w:lang w:val="en-US"/>
        </w:rPr>
        <w:t xml:space="preserve">, </w:t>
      </w:r>
      <w:proofErr w:type="spellStart"/>
      <w:r w:rsidRPr="00783905">
        <w:rPr>
          <w:rFonts w:cs="Arial"/>
          <w:lang w:val="en-US"/>
        </w:rPr>
        <w:t>Aanderaa</w:t>
      </w:r>
      <w:proofErr w:type="spellEnd"/>
      <w:r w:rsidRPr="00783905">
        <w:rPr>
          <w:rFonts w:cs="Arial"/>
          <w:lang w:val="en-US"/>
        </w:rPr>
        <w:t xml:space="preserve"> </w:t>
      </w:r>
      <w:proofErr w:type="spellStart"/>
      <w:r w:rsidRPr="00783905">
        <w:rPr>
          <w:rFonts w:cs="Arial"/>
          <w:lang w:val="en-US"/>
        </w:rPr>
        <w:t>Optode</w:t>
      </w:r>
      <w:proofErr w:type="spellEnd"/>
      <w:r>
        <w:rPr>
          <w:rFonts w:cs="Arial"/>
          <w:lang w:val="en-US"/>
        </w:rPr>
        <w:t xml:space="preserve">, </w:t>
      </w:r>
      <w:r w:rsidRPr="00783905">
        <w:rPr>
          <w:rFonts w:cs="Arial"/>
          <w:lang w:val="en-US"/>
        </w:rPr>
        <w:t>JFE Advantech RINKO III) is generally acceptable following implementation of calibration procedures</w:t>
      </w:r>
      <w:r>
        <w:rPr>
          <w:rFonts w:cs="Arial"/>
          <w:lang w:val="en-US"/>
        </w:rPr>
        <w:t>:</w:t>
      </w:r>
    </w:p>
    <w:p w14:paraId="59259720" w14:textId="77777777" w:rsidR="00783905" w:rsidRDefault="00783905" w:rsidP="00783905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Pre-cruise/lab calibration is required</w:t>
      </w:r>
    </w:p>
    <w:p w14:paraId="12237A53" w14:textId="77777777" w:rsidR="00783905" w:rsidRDefault="00783905" w:rsidP="00783905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Frequent in-situ calibration required (against Winkler samples)</w:t>
      </w:r>
      <w:r w:rsidR="00BD2721">
        <w:rPr>
          <w:rFonts w:cs="Arial"/>
          <w:lang w:val="en-US"/>
        </w:rPr>
        <w:t xml:space="preserve"> as some sensors might deviate </w:t>
      </w:r>
      <w:r w:rsidR="00734D83">
        <w:rPr>
          <w:rFonts w:cs="Arial"/>
          <w:lang w:val="en-US"/>
        </w:rPr>
        <w:t xml:space="preserve">even </w:t>
      </w:r>
      <w:r w:rsidR="00BD2721">
        <w:rPr>
          <w:rFonts w:cs="Arial"/>
          <w:lang w:val="en-US"/>
        </w:rPr>
        <w:t>when pre-calibrated</w:t>
      </w:r>
      <w:r w:rsidR="00734D83">
        <w:rPr>
          <w:rFonts w:cs="Arial"/>
          <w:lang w:val="en-US"/>
        </w:rPr>
        <w:t xml:space="preserve"> </w:t>
      </w:r>
      <w:r w:rsidR="00BD2721">
        <w:rPr>
          <w:rFonts w:cs="Arial"/>
          <w:lang w:val="en-US"/>
        </w:rPr>
        <w:t>(</w:t>
      </w:r>
      <w:proofErr w:type="spellStart"/>
      <w:r w:rsidR="00734D83">
        <w:rPr>
          <w:rFonts w:cs="Arial"/>
          <w:lang w:val="en-US"/>
        </w:rPr>
        <w:t>Bittig</w:t>
      </w:r>
      <w:proofErr w:type="spellEnd"/>
      <w:r w:rsidR="00734D83">
        <w:rPr>
          <w:rFonts w:cs="Arial"/>
          <w:lang w:val="en-US"/>
        </w:rPr>
        <w:t xml:space="preserve"> et al. 2012)</w:t>
      </w:r>
    </w:p>
    <w:p w14:paraId="76187181" w14:textId="77777777" w:rsidR="00C93588" w:rsidRDefault="00C93588" w:rsidP="00C93588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Comparison to the CTD bottled data is acceptable</w:t>
      </w:r>
    </w:p>
    <w:p w14:paraId="22C75A46" w14:textId="77777777" w:rsidR="00C93588" w:rsidRDefault="00D70141" w:rsidP="00C93588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UNITS</w:t>
      </w:r>
    </w:p>
    <w:p w14:paraId="54DF055F" w14:textId="77777777" w:rsidR="00C93588" w:rsidRDefault="00C93588" w:rsidP="00C93588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Use of </w:t>
      </w:r>
      <w:proofErr w:type="spellStart"/>
      <w:r>
        <w:rPr>
          <w:rFonts w:ascii="Cambria" w:hAnsi="Cambria" w:cs="Arial"/>
          <w:lang w:val="en-US"/>
        </w:rPr>
        <w:t>μ</w:t>
      </w:r>
      <w:r>
        <w:rPr>
          <w:rFonts w:cs="Arial"/>
          <w:lang w:val="en-US"/>
        </w:rPr>
        <w:t>mol</w:t>
      </w:r>
      <w:proofErr w:type="spellEnd"/>
      <w:r>
        <w:rPr>
          <w:rFonts w:cs="Arial"/>
          <w:lang w:val="en-US"/>
        </w:rPr>
        <w:t>/kg of seawater is recommended</w:t>
      </w:r>
    </w:p>
    <w:p w14:paraId="0ADDF477" w14:textId="77777777" w:rsidR="00C93588" w:rsidRDefault="00C93588" w:rsidP="00C93588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Use of </w:t>
      </w:r>
      <w:proofErr w:type="spellStart"/>
      <w:r>
        <w:rPr>
          <w:rFonts w:ascii="Cambria" w:hAnsi="Cambria" w:cs="Arial"/>
          <w:lang w:val="en-US"/>
        </w:rPr>
        <w:t>μ</w:t>
      </w:r>
      <w:r>
        <w:rPr>
          <w:rFonts w:cs="Arial"/>
          <w:lang w:val="en-US"/>
        </w:rPr>
        <w:t>mol</w:t>
      </w:r>
      <w:proofErr w:type="spellEnd"/>
      <w:r>
        <w:rPr>
          <w:rFonts w:cs="Arial"/>
          <w:lang w:val="en-US"/>
        </w:rPr>
        <w:t>/l is acceptable</w:t>
      </w:r>
    </w:p>
    <w:p w14:paraId="7FF842BB" w14:textId="77777777" w:rsidR="00C93588" w:rsidRDefault="0063054D" w:rsidP="00C93588">
      <w:pPr>
        <w:pStyle w:val="ListParagraph"/>
        <w:numPr>
          <w:ilvl w:val="2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Use of mg/l</w:t>
      </w:r>
      <w:r w:rsidR="00C93588">
        <w:rPr>
          <w:rFonts w:cs="Arial"/>
          <w:lang w:val="en-US"/>
        </w:rPr>
        <w:t xml:space="preserve"> is not recommended</w:t>
      </w:r>
    </w:p>
    <w:p w14:paraId="72250767" w14:textId="77777777" w:rsidR="00C93588" w:rsidRDefault="00C93588" w:rsidP="00C93588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GENERAL COMMENTS</w:t>
      </w:r>
    </w:p>
    <w:p w14:paraId="1199E3D8" w14:textId="77777777" w:rsidR="00C93588" w:rsidRDefault="00C93588" w:rsidP="00C93588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Use of ship-based time series platforms is </w:t>
      </w:r>
      <w:r w:rsidR="00956D48">
        <w:rPr>
          <w:rFonts w:cs="Arial"/>
          <w:lang w:val="en-US"/>
        </w:rPr>
        <w:t xml:space="preserve">well suited </w:t>
      </w:r>
      <w:r>
        <w:rPr>
          <w:rFonts w:cs="Arial"/>
          <w:lang w:val="en-US"/>
        </w:rPr>
        <w:t>for testing of new technology</w:t>
      </w:r>
    </w:p>
    <w:p w14:paraId="57C69ED3" w14:textId="77777777" w:rsidR="00C93588" w:rsidRDefault="00C93588" w:rsidP="00C93588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Taking multiple discrete samples allows for </w:t>
      </w:r>
      <w:proofErr w:type="spellStart"/>
      <w:r>
        <w:rPr>
          <w:rFonts w:cs="Arial"/>
          <w:lang w:val="en-US"/>
        </w:rPr>
        <w:t>groundtruthing</w:t>
      </w:r>
      <w:proofErr w:type="spellEnd"/>
      <w:r>
        <w:rPr>
          <w:rFonts w:cs="Arial"/>
          <w:lang w:val="en-US"/>
        </w:rPr>
        <w:t xml:space="preserve"> of the moored sensors and/or</w:t>
      </w:r>
      <w:r w:rsidR="00D914D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satellite data</w:t>
      </w:r>
    </w:p>
    <w:p w14:paraId="79C7D7D2" w14:textId="77777777" w:rsidR="00C93588" w:rsidRPr="00C93588" w:rsidRDefault="00C93588" w:rsidP="00C93588">
      <w:pPr>
        <w:pStyle w:val="ListParagraph"/>
        <w:numPr>
          <w:ilvl w:val="1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Taking multiple discrete samples offers the opportunity to calibrate sensors/instruments</w:t>
      </w:r>
    </w:p>
    <w:p w14:paraId="02AF84F6" w14:textId="77777777" w:rsidR="009226C0" w:rsidRDefault="009226C0" w:rsidP="009226C0"/>
    <w:sectPr w:rsidR="009226C0" w:rsidSect="002915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FE"/>
    <w:multiLevelType w:val="hybridMultilevel"/>
    <w:tmpl w:val="DE808AEC"/>
    <w:lvl w:ilvl="0" w:tplc="BCB038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17C"/>
    <w:multiLevelType w:val="hybridMultilevel"/>
    <w:tmpl w:val="2EA4C670"/>
    <w:lvl w:ilvl="0" w:tplc="A2FC3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44BD7"/>
    <w:multiLevelType w:val="hybridMultilevel"/>
    <w:tmpl w:val="483ED180"/>
    <w:lvl w:ilvl="0" w:tplc="BCB038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5F7"/>
    <w:multiLevelType w:val="hybridMultilevel"/>
    <w:tmpl w:val="ABF8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1B28"/>
    <w:multiLevelType w:val="hybridMultilevel"/>
    <w:tmpl w:val="AC5A6DEE"/>
    <w:lvl w:ilvl="0" w:tplc="1CFAF8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0AD9"/>
    <w:rsid w:val="00012B71"/>
    <w:rsid w:val="00016BFA"/>
    <w:rsid w:val="00063AB5"/>
    <w:rsid w:val="000863B6"/>
    <w:rsid w:val="000C6E93"/>
    <w:rsid w:val="000E7B65"/>
    <w:rsid w:val="000F6AF8"/>
    <w:rsid w:val="001025F4"/>
    <w:rsid w:val="00136B00"/>
    <w:rsid w:val="00143A5E"/>
    <w:rsid w:val="001B4420"/>
    <w:rsid w:val="001B7295"/>
    <w:rsid w:val="001C0AD9"/>
    <w:rsid w:val="001C29EE"/>
    <w:rsid w:val="002915E9"/>
    <w:rsid w:val="002B67BF"/>
    <w:rsid w:val="002D38DE"/>
    <w:rsid w:val="002D4A68"/>
    <w:rsid w:val="002E0257"/>
    <w:rsid w:val="002E463C"/>
    <w:rsid w:val="0031144D"/>
    <w:rsid w:val="00351C44"/>
    <w:rsid w:val="00384BB7"/>
    <w:rsid w:val="003D3CF4"/>
    <w:rsid w:val="0044059C"/>
    <w:rsid w:val="004452FC"/>
    <w:rsid w:val="005B130B"/>
    <w:rsid w:val="005C257A"/>
    <w:rsid w:val="005E2B58"/>
    <w:rsid w:val="005E7FEF"/>
    <w:rsid w:val="005F0C9E"/>
    <w:rsid w:val="005F3867"/>
    <w:rsid w:val="00603083"/>
    <w:rsid w:val="0063054D"/>
    <w:rsid w:val="006A1764"/>
    <w:rsid w:val="006B3BE3"/>
    <w:rsid w:val="006C66CA"/>
    <w:rsid w:val="006D0816"/>
    <w:rsid w:val="006F7451"/>
    <w:rsid w:val="0071518D"/>
    <w:rsid w:val="0072156A"/>
    <w:rsid w:val="00734D83"/>
    <w:rsid w:val="00736697"/>
    <w:rsid w:val="00740EBF"/>
    <w:rsid w:val="007532FD"/>
    <w:rsid w:val="0076417E"/>
    <w:rsid w:val="007731BB"/>
    <w:rsid w:val="00783905"/>
    <w:rsid w:val="007E4CF4"/>
    <w:rsid w:val="00834053"/>
    <w:rsid w:val="00886AFF"/>
    <w:rsid w:val="008A3A74"/>
    <w:rsid w:val="008A4DDC"/>
    <w:rsid w:val="008C1049"/>
    <w:rsid w:val="008C273D"/>
    <w:rsid w:val="008E558E"/>
    <w:rsid w:val="008E6546"/>
    <w:rsid w:val="009226C0"/>
    <w:rsid w:val="00923C30"/>
    <w:rsid w:val="00927DDA"/>
    <w:rsid w:val="00934AEA"/>
    <w:rsid w:val="0094286D"/>
    <w:rsid w:val="00956D48"/>
    <w:rsid w:val="00985BB3"/>
    <w:rsid w:val="009D402F"/>
    <w:rsid w:val="009D7359"/>
    <w:rsid w:val="009E17C1"/>
    <w:rsid w:val="009F70AE"/>
    <w:rsid w:val="00A354EE"/>
    <w:rsid w:val="00AA73CB"/>
    <w:rsid w:val="00AB18A0"/>
    <w:rsid w:val="00B17AC6"/>
    <w:rsid w:val="00B17D50"/>
    <w:rsid w:val="00B217A5"/>
    <w:rsid w:val="00B52649"/>
    <w:rsid w:val="00BD2721"/>
    <w:rsid w:val="00BD3E69"/>
    <w:rsid w:val="00C50109"/>
    <w:rsid w:val="00C71F49"/>
    <w:rsid w:val="00C93588"/>
    <w:rsid w:val="00CA4C3F"/>
    <w:rsid w:val="00CB1A4A"/>
    <w:rsid w:val="00D30976"/>
    <w:rsid w:val="00D70141"/>
    <w:rsid w:val="00D914D9"/>
    <w:rsid w:val="00DC014A"/>
    <w:rsid w:val="00DF00FF"/>
    <w:rsid w:val="00E0003B"/>
    <w:rsid w:val="00EC39B3"/>
    <w:rsid w:val="00EC51DE"/>
    <w:rsid w:val="00F04D9F"/>
    <w:rsid w:val="00F22285"/>
    <w:rsid w:val="00F51C5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E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5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59"/>
    <w:rPr>
      <w:rFonts w:ascii="Lucida Grande" w:hAnsi="Lucida Grande"/>
      <w:sz w:val="18"/>
      <w:szCs w:val="18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9D735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Institute of Oceanology of Polish Academy of Scienc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Telszewski</dc:creator>
  <cp:lastModifiedBy>Maciej Telszewski</cp:lastModifiedBy>
  <cp:revision>3</cp:revision>
  <dcterms:created xsi:type="dcterms:W3CDTF">2012-12-16T00:53:00Z</dcterms:created>
  <dcterms:modified xsi:type="dcterms:W3CDTF">2012-12-18T18:49:00Z</dcterms:modified>
</cp:coreProperties>
</file>